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0BA29" w14:textId="77777777" w:rsidR="0028531E" w:rsidRPr="0028531E" w:rsidRDefault="0028531E" w:rsidP="0028531E">
      <w:pPr>
        <w:shd w:val="clear" w:color="auto" w:fill="FFFFFF"/>
        <w:autoSpaceDE w:val="0"/>
        <w:autoSpaceDN w:val="0"/>
        <w:adjustRightInd w:val="0"/>
        <w:rPr>
          <w:rFonts w:ascii="Bookman Old Style" w:hAnsi="Bookman Old Style"/>
          <w:b/>
          <w:color w:val="000000"/>
          <w:sz w:val="32"/>
          <w:szCs w:val="32"/>
        </w:rPr>
      </w:pPr>
      <w:r w:rsidRPr="0028531E">
        <w:rPr>
          <w:rFonts w:ascii="Bookman Old Style" w:hAnsi="Bookman Old Style"/>
          <w:b/>
          <w:color w:val="000000"/>
          <w:sz w:val="32"/>
          <w:szCs w:val="32"/>
        </w:rPr>
        <w:t>The relationship between tissue inhibitor metalloproteinase-1 with colorectal cancer and tissue inhibitor metalloproteinase-1 as a predictor of colorectal cancer</w:t>
      </w:r>
    </w:p>
    <w:p w14:paraId="7422A4F6" w14:textId="77777777" w:rsidR="0028531E" w:rsidRPr="0028531E" w:rsidRDefault="0028531E" w:rsidP="0028531E">
      <w:pPr>
        <w:jc w:val="both"/>
        <w:rPr>
          <w:rFonts w:ascii="Bookman Old Style" w:hAnsi="Bookman Old Style"/>
          <w:b/>
          <w:bCs/>
        </w:rPr>
      </w:pPr>
    </w:p>
    <w:p w14:paraId="701F6B20" w14:textId="77777777" w:rsidR="0028531E" w:rsidRPr="0028531E" w:rsidRDefault="0028531E" w:rsidP="0028531E">
      <w:pPr>
        <w:jc w:val="both"/>
        <w:rPr>
          <w:rFonts w:ascii="Bookman Old Style" w:hAnsi="Bookman Old Style"/>
          <w:b/>
          <w:bCs/>
        </w:rPr>
      </w:pPr>
    </w:p>
    <w:p w14:paraId="005D8AE9" w14:textId="77777777" w:rsidR="0028531E" w:rsidRPr="0028531E" w:rsidRDefault="0028531E" w:rsidP="0028531E">
      <w:pPr>
        <w:contextualSpacing/>
        <w:jc w:val="both"/>
        <w:rPr>
          <w:rFonts w:ascii="Bookman Old Style" w:hAnsi="Bookman Old Style"/>
          <w:b/>
          <w:bCs/>
          <w:lang w:val="en-ID"/>
        </w:rPr>
      </w:pPr>
      <w:r w:rsidRPr="0028531E">
        <w:rPr>
          <w:rFonts w:ascii="Bookman Old Style" w:hAnsi="Bookman Old Style"/>
          <w:b/>
          <w:bCs/>
          <w:lang w:val="en-ID"/>
        </w:rPr>
        <w:t xml:space="preserve">I </w:t>
      </w:r>
      <w:proofErr w:type="spellStart"/>
      <w:r w:rsidRPr="0028531E">
        <w:rPr>
          <w:rFonts w:ascii="Bookman Old Style" w:hAnsi="Bookman Old Style"/>
          <w:b/>
          <w:bCs/>
          <w:lang w:val="en-ID"/>
        </w:rPr>
        <w:t>Gusti</w:t>
      </w:r>
      <w:proofErr w:type="spellEnd"/>
      <w:r w:rsidRPr="0028531E">
        <w:rPr>
          <w:rFonts w:ascii="Bookman Old Style" w:hAnsi="Bookman Old Style"/>
          <w:b/>
          <w:bCs/>
          <w:lang w:val="en-ID"/>
        </w:rPr>
        <w:t xml:space="preserve"> Agung </w:t>
      </w:r>
      <w:proofErr w:type="spellStart"/>
      <w:r w:rsidRPr="0028531E">
        <w:rPr>
          <w:rFonts w:ascii="Bookman Old Style" w:hAnsi="Bookman Old Style"/>
          <w:b/>
          <w:bCs/>
          <w:lang w:val="en-ID"/>
        </w:rPr>
        <w:t>Gede</w:t>
      </w:r>
      <w:proofErr w:type="spellEnd"/>
      <w:r w:rsidRPr="0028531E">
        <w:rPr>
          <w:rFonts w:ascii="Bookman Old Style" w:hAnsi="Bookman Old Style"/>
          <w:b/>
          <w:bCs/>
          <w:lang w:val="en-ID"/>
        </w:rPr>
        <w:t xml:space="preserve"> </w:t>
      </w:r>
      <w:proofErr w:type="spellStart"/>
      <w:r w:rsidRPr="0028531E">
        <w:rPr>
          <w:rFonts w:ascii="Bookman Old Style" w:hAnsi="Bookman Old Style"/>
          <w:b/>
          <w:bCs/>
          <w:lang w:val="en-ID"/>
        </w:rPr>
        <w:t>Darma</w:t>
      </w:r>
      <w:proofErr w:type="spellEnd"/>
      <w:r w:rsidRPr="0028531E">
        <w:rPr>
          <w:rFonts w:ascii="Bookman Old Style" w:hAnsi="Bookman Old Style"/>
          <w:b/>
          <w:bCs/>
          <w:lang w:val="en-ID"/>
        </w:rPr>
        <w:t xml:space="preserve"> Putra </w:t>
      </w:r>
      <w:proofErr w:type="spellStart"/>
      <w:r w:rsidRPr="0028531E">
        <w:rPr>
          <w:rFonts w:ascii="Bookman Old Style" w:hAnsi="Bookman Old Style"/>
          <w:b/>
          <w:bCs/>
          <w:lang w:val="en-ID"/>
        </w:rPr>
        <w:t>Suryapranata</w:t>
      </w:r>
      <w:proofErr w:type="spellEnd"/>
    </w:p>
    <w:p w14:paraId="1FA6CFDC" w14:textId="77777777" w:rsidR="0028531E" w:rsidRPr="0028531E" w:rsidRDefault="0028531E" w:rsidP="0028531E">
      <w:pPr>
        <w:contextualSpacing/>
        <w:jc w:val="both"/>
        <w:rPr>
          <w:rFonts w:ascii="Bookman Old Style" w:hAnsi="Bookman Old Style"/>
          <w:b/>
          <w:bCs/>
          <w:lang w:val="en-ID"/>
        </w:rPr>
      </w:pPr>
      <w:r w:rsidRPr="0028531E">
        <w:rPr>
          <w:rFonts w:ascii="Bookman Old Style" w:hAnsi="Bookman Old Style"/>
        </w:rPr>
        <w:t>Resident a</w:t>
      </w:r>
      <w:hyperlink r:id="rId8" w:tgtFrame="_blank" w:history="1">
        <w:r w:rsidRPr="0028531E">
          <w:rPr>
            <w:rStyle w:val="Hyperlink"/>
            <w:rFonts w:ascii="Bookman Old Style" w:hAnsi="Bookman Old Style"/>
            <w:color w:val="auto"/>
            <w:u w:val="none"/>
            <w:shd w:val="clear" w:color="auto" w:fill="FFFFFF"/>
          </w:rPr>
          <w:t>t Department of General Surgery,</w:t>
        </w:r>
        <w:r w:rsidRPr="0028531E">
          <w:rPr>
            <w:rStyle w:val="Hyperlink"/>
            <w:rFonts w:ascii="Bookman Old Style" w:hAnsi="Bookman Old Style"/>
            <w:color w:val="1A0DAB"/>
            <w:u w:val="none"/>
            <w:shd w:val="clear" w:color="auto" w:fill="FFFFFF"/>
          </w:rPr>
          <w:t xml:space="preserve"> </w:t>
        </w:r>
      </w:hyperlink>
      <w:r w:rsidRPr="0028531E">
        <w:rPr>
          <w:rFonts w:ascii="Bookman Old Style" w:hAnsi="Bookman Old Style"/>
        </w:rPr>
        <w:t xml:space="preserve">Faculty of Medicine, </w:t>
      </w:r>
      <w:proofErr w:type="spellStart"/>
      <w:r w:rsidRPr="0028531E">
        <w:rPr>
          <w:rFonts w:ascii="Bookman Old Style" w:hAnsi="Bookman Old Style"/>
        </w:rPr>
        <w:t>Udayana</w:t>
      </w:r>
      <w:proofErr w:type="spellEnd"/>
      <w:r w:rsidRPr="0028531E">
        <w:rPr>
          <w:rFonts w:ascii="Bookman Old Style" w:hAnsi="Bookman Old Style"/>
        </w:rPr>
        <w:t xml:space="preserve"> University, Prof. Dr. IGNG </w:t>
      </w:r>
      <w:proofErr w:type="spellStart"/>
      <w:r w:rsidRPr="0028531E">
        <w:rPr>
          <w:rFonts w:ascii="Bookman Old Style" w:hAnsi="Bookman Old Style"/>
        </w:rPr>
        <w:t>Ngoerah</w:t>
      </w:r>
      <w:proofErr w:type="spellEnd"/>
      <w:r w:rsidRPr="0028531E">
        <w:rPr>
          <w:rFonts w:ascii="Bookman Old Style" w:hAnsi="Bookman Old Style"/>
        </w:rPr>
        <w:t xml:space="preserve"> Central General Hospital Denpasar, Bali, Indonesia, 80114</w:t>
      </w:r>
    </w:p>
    <w:p w14:paraId="5D80DBC6" w14:textId="46F0BAA7" w:rsidR="0028531E" w:rsidRPr="0028531E" w:rsidRDefault="0028531E" w:rsidP="0028531E">
      <w:pPr>
        <w:jc w:val="both"/>
        <w:rPr>
          <w:rFonts w:ascii="Bookman Old Style" w:hAnsi="Bookman Old Style"/>
        </w:rPr>
      </w:pPr>
      <w:r w:rsidRPr="0028531E">
        <w:rPr>
          <w:rFonts w:ascii="Bookman Old Style" w:hAnsi="Bookman Old Style"/>
        </w:rPr>
        <w:t xml:space="preserve">Correspondent author email: </w:t>
      </w:r>
      <w:hyperlink r:id="rId9" w:history="1">
        <w:r w:rsidRPr="0028531E">
          <w:rPr>
            <w:rStyle w:val="Hyperlink"/>
            <w:rFonts w:ascii="Bookman Old Style" w:hAnsi="Bookman Old Style"/>
            <w:u w:val="none"/>
          </w:rPr>
          <w:t>gungjodxt@gmail.com</w:t>
        </w:r>
      </w:hyperlink>
      <w:r w:rsidRPr="0028531E">
        <w:rPr>
          <w:rFonts w:ascii="Bookman Old Style" w:hAnsi="Bookman Old Style"/>
        </w:rPr>
        <w:t xml:space="preserve"> </w:t>
      </w:r>
    </w:p>
    <w:p w14:paraId="337C33A4" w14:textId="77777777" w:rsidR="0028531E" w:rsidRPr="0028531E" w:rsidRDefault="0028531E" w:rsidP="0028531E">
      <w:pPr>
        <w:jc w:val="both"/>
        <w:rPr>
          <w:rFonts w:ascii="Bookman Old Style" w:hAnsi="Bookman Old Style"/>
          <w:b/>
          <w:bCs/>
        </w:rPr>
      </w:pPr>
    </w:p>
    <w:p w14:paraId="3ED5E5F5" w14:textId="77777777" w:rsidR="0028531E" w:rsidRPr="0028531E" w:rsidRDefault="0028531E" w:rsidP="0028531E">
      <w:pPr>
        <w:jc w:val="both"/>
        <w:rPr>
          <w:rFonts w:ascii="Bookman Old Style" w:hAnsi="Bookman Old Style"/>
          <w:b/>
          <w:bCs/>
        </w:rPr>
      </w:pPr>
      <w:r w:rsidRPr="0028531E">
        <w:rPr>
          <w:rFonts w:ascii="Bookman Old Style" w:hAnsi="Bookman Old Style"/>
          <w:b/>
          <w:bCs/>
        </w:rPr>
        <w:t xml:space="preserve">I Made </w:t>
      </w:r>
      <w:proofErr w:type="spellStart"/>
      <w:r w:rsidRPr="0028531E">
        <w:rPr>
          <w:rFonts w:ascii="Bookman Old Style" w:hAnsi="Bookman Old Style"/>
          <w:b/>
          <w:bCs/>
        </w:rPr>
        <w:t>Mulyawan</w:t>
      </w:r>
      <w:proofErr w:type="spellEnd"/>
    </w:p>
    <w:p w14:paraId="2EE3B781" w14:textId="77777777" w:rsidR="0028531E" w:rsidRPr="0028531E" w:rsidRDefault="00000000" w:rsidP="0028531E">
      <w:pPr>
        <w:pStyle w:val="Heading2"/>
        <w:spacing w:before="0" w:after="0"/>
        <w:jc w:val="both"/>
        <w:rPr>
          <w:rFonts w:ascii="Bookman Old Style" w:hAnsi="Bookman Old Style"/>
          <w:b w:val="0"/>
          <w:bCs w:val="0"/>
          <w:i w:val="0"/>
          <w:iCs w:val="0"/>
          <w:sz w:val="20"/>
          <w:szCs w:val="20"/>
        </w:rPr>
      </w:pPr>
      <w:hyperlink r:id="rId10" w:tgtFrame="_blank" w:history="1">
        <w:r w:rsidR="0028531E" w:rsidRPr="0028531E">
          <w:rPr>
            <w:rStyle w:val="Hyperlink"/>
            <w:rFonts w:ascii="Bookman Old Style" w:hAnsi="Bookman Old Style"/>
            <w:b w:val="0"/>
            <w:bCs w:val="0"/>
            <w:i w:val="0"/>
            <w:iCs w:val="0"/>
            <w:color w:val="auto"/>
            <w:sz w:val="20"/>
            <w:szCs w:val="20"/>
            <w:u w:val="none"/>
            <w:shd w:val="clear" w:color="auto" w:fill="FFFFFF"/>
          </w:rPr>
          <w:t>Division of Digestive, Department of General Surgery,</w:t>
        </w:r>
        <w:r w:rsidR="0028531E" w:rsidRPr="0028531E">
          <w:rPr>
            <w:rStyle w:val="Hyperlink"/>
            <w:rFonts w:ascii="Bookman Old Style" w:hAnsi="Bookman Old Style"/>
            <w:i w:val="0"/>
            <w:iCs w:val="0"/>
            <w:color w:val="1A0DAB"/>
            <w:sz w:val="20"/>
            <w:szCs w:val="20"/>
            <w:u w:val="none"/>
            <w:shd w:val="clear" w:color="auto" w:fill="FFFFFF"/>
          </w:rPr>
          <w:t xml:space="preserve"> </w:t>
        </w:r>
      </w:hyperlink>
      <w:r w:rsidR="0028531E" w:rsidRPr="0028531E">
        <w:rPr>
          <w:rFonts w:ascii="Bookman Old Style" w:hAnsi="Bookman Old Style"/>
          <w:b w:val="0"/>
          <w:bCs w:val="0"/>
          <w:i w:val="0"/>
          <w:iCs w:val="0"/>
          <w:sz w:val="20"/>
          <w:szCs w:val="20"/>
        </w:rPr>
        <w:t xml:space="preserve">Faculty of Medicine, </w:t>
      </w:r>
      <w:proofErr w:type="spellStart"/>
      <w:r w:rsidR="0028531E" w:rsidRPr="0028531E">
        <w:rPr>
          <w:rFonts w:ascii="Bookman Old Style" w:hAnsi="Bookman Old Style"/>
          <w:b w:val="0"/>
          <w:bCs w:val="0"/>
          <w:i w:val="0"/>
          <w:iCs w:val="0"/>
          <w:sz w:val="20"/>
          <w:szCs w:val="20"/>
        </w:rPr>
        <w:t>Udayana</w:t>
      </w:r>
      <w:proofErr w:type="spellEnd"/>
      <w:r w:rsidR="0028531E" w:rsidRPr="0028531E">
        <w:rPr>
          <w:rFonts w:ascii="Bookman Old Style" w:hAnsi="Bookman Old Style"/>
          <w:b w:val="0"/>
          <w:bCs w:val="0"/>
          <w:i w:val="0"/>
          <w:iCs w:val="0"/>
          <w:sz w:val="20"/>
          <w:szCs w:val="20"/>
        </w:rPr>
        <w:t xml:space="preserve"> University, Prof. Dr. IGNG </w:t>
      </w:r>
      <w:proofErr w:type="spellStart"/>
      <w:r w:rsidR="0028531E" w:rsidRPr="0028531E">
        <w:rPr>
          <w:rFonts w:ascii="Bookman Old Style" w:hAnsi="Bookman Old Style"/>
          <w:b w:val="0"/>
          <w:bCs w:val="0"/>
          <w:i w:val="0"/>
          <w:iCs w:val="0"/>
          <w:sz w:val="20"/>
          <w:szCs w:val="20"/>
        </w:rPr>
        <w:t>Ngoerah</w:t>
      </w:r>
      <w:proofErr w:type="spellEnd"/>
      <w:r w:rsidR="0028531E" w:rsidRPr="0028531E">
        <w:rPr>
          <w:rFonts w:ascii="Bookman Old Style" w:hAnsi="Bookman Old Style"/>
          <w:b w:val="0"/>
          <w:bCs w:val="0"/>
          <w:i w:val="0"/>
          <w:iCs w:val="0"/>
          <w:sz w:val="20"/>
          <w:szCs w:val="20"/>
        </w:rPr>
        <w:t xml:space="preserve"> Central General Hospital Denpasar, Bali, Indonesia, 80114</w:t>
      </w:r>
    </w:p>
    <w:p w14:paraId="71039EFC" w14:textId="16570C70" w:rsidR="0028531E" w:rsidRPr="0028531E" w:rsidRDefault="0028531E" w:rsidP="0028531E">
      <w:pPr>
        <w:jc w:val="both"/>
        <w:rPr>
          <w:rFonts w:ascii="Bookman Old Style" w:hAnsi="Bookman Old Style"/>
        </w:rPr>
      </w:pPr>
      <w:r w:rsidRPr="0028531E">
        <w:rPr>
          <w:rFonts w:ascii="Bookman Old Style" w:hAnsi="Bookman Old Style"/>
        </w:rPr>
        <w:t xml:space="preserve">Email: </w:t>
      </w:r>
      <w:hyperlink r:id="rId11" w:history="1">
        <w:r w:rsidRPr="0028531E">
          <w:rPr>
            <w:rStyle w:val="Hyperlink"/>
            <w:rFonts w:ascii="Bookman Old Style" w:hAnsi="Bookman Old Style"/>
            <w:u w:val="none"/>
          </w:rPr>
          <w:t>mulyawanm@yahoo.com</w:t>
        </w:r>
      </w:hyperlink>
    </w:p>
    <w:p w14:paraId="32F7228F" w14:textId="77777777" w:rsidR="0028531E" w:rsidRPr="0028531E" w:rsidRDefault="0028531E" w:rsidP="0028531E">
      <w:pPr>
        <w:jc w:val="both"/>
        <w:rPr>
          <w:rFonts w:ascii="Bookman Old Style" w:hAnsi="Bookman Old Style"/>
        </w:rPr>
      </w:pPr>
    </w:p>
    <w:p w14:paraId="4DF588E9" w14:textId="77777777" w:rsidR="0028531E" w:rsidRPr="0028531E" w:rsidRDefault="0028531E" w:rsidP="0028531E">
      <w:pPr>
        <w:jc w:val="both"/>
        <w:rPr>
          <w:rFonts w:ascii="Bookman Old Style" w:hAnsi="Bookman Old Style"/>
          <w:b/>
          <w:lang w:val="nl-NL"/>
        </w:rPr>
      </w:pPr>
      <w:r w:rsidRPr="0028531E">
        <w:rPr>
          <w:rFonts w:ascii="Bookman Old Style" w:hAnsi="Bookman Old Style"/>
          <w:b/>
          <w:lang w:val="nl-NL"/>
        </w:rPr>
        <w:t>Tjokorda Gde Bagus Mahadewa</w:t>
      </w:r>
    </w:p>
    <w:p w14:paraId="5F923EFD" w14:textId="77777777" w:rsidR="0028531E" w:rsidRPr="0028531E" w:rsidRDefault="0028531E" w:rsidP="0028531E">
      <w:pPr>
        <w:jc w:val="both"/>
        <w:rPr>
          <w:rFonts w:ascii="Bookman Old Style" w:hAnsi="Bookman Old Style"/>
        </w:rPr>
      </w:pPr>
      <w:r w:rsidRPr="0028531E">
        <w:rPr>
          <w:rFonts w:ascii="Bookman Old Style" w:hAnsi="Bookman Old Style"/>
          <w:bCs/>
          <w:lang w:val="nl-NL"/>
        </w:rPr>
        <w:t xml:space="preserve">Division of Neurospine, Department of Neurosurgery, Faculty of Medicine, Udayana University, </w:t>
      </w:r>
      <w:r w:rsidRPr="0028531E">
        <w:rPr>
          <w:rFonts w:ascii="Bookman Old Style" w:hAnsi="Bookman Old Style"/>
          <w:lang w:val="nl-NL"/>
        </w:rPr>
        <w:t>Prof Dr. IGNG Ngoerah General Hospital Denpasar, Bali, Indonesia</w:t>
      </w:r>
      <w:r w:rsidRPr="0028531E">
        <w:rPr>
          <w:rFonts w:ascii="Bookman Old Style" w:hAnsi="Bookman Old Style"/>
        </w:rPr>
        <w:t>, 80114</w:t>
      </w:r>
    </w:p>
    <w:p w14:paraId="088762C7" w14:textId="77777777" w:rsidR="0028531E" w:rsidRPr="0028531E" w:rsidRDefault="0028531E" w:rsidP="0028531E">
      <w:pPr>
        <w:jc w:val="both"/>
        <w:rPr>
          <w:rFonts w:ascii="Bookman Old Style" w:hAnsi="Bookman Old Style"/>
        </w:rPr>
      </w:pPr>
      <w:r w:rsidRPr="0028531E">
        <w:rPr>
          <w:rFonts w:ascii="Bookman Old Style" w:hAnsi="Bookman Old Style"/>
        </w:rPr>
        <w:t xml:space="preserve">Email: </w:t>
      </w:r>
      <w:hyperlink r:id="rId12" w:history="1">
        <w:r w:rsidRPr="0028531E">
          <w:rPr>
            <w:rStyle w:val="Hyperlink"/>
            <w:rFonts w:ascii="Bookman Old Style" w:hAnsi="Bookman Old Style"/>
            <w:bCs/>
            <w:u w:val="none"/>
            <w:lang w:val="nl-NL"/>
          </w:rPr>
          <w:t>tjokmahadewa@unud.ac.id</w:t>
        </w:r>
      </w:hyperlink>
      <w:r w:rsidRPr="0028531E">
        <w:rPr>
          <w:rFonts w:ascii="Bookman Old Style" w:hAnsi="Bookman Old Style"/>
          <w:bCs/>
          <w:lang w:val="nl-NL"/>
        </w:rPr>
        <w:t xml:space="preserve"> </w:t>
      </w:r>
    </w:p>
    <w:p w14:paraId="4CE5313A" w14:textId="00D84206" w:rsidR="0028531E" w:rsidRDefault="0028531E" w:rsidP="0028531E">
      <w:pPr>
        <w:jc w:val="both"/>
        <w:rPr>
          <w:rFonts w:ascii="Bookman Old Style" w:hAnsi="Bookman Old Style"/>
          <w:bCs/>
          <w:lang w:val="nl-NL"/>
        </w:rPr>
      </w:pPr>
      <w:r w:rsidRPr="0028531E">
        <w:rPr>
          <w:rFonts w:ascii="Bookman Old Style" w:hAnsi="Bookman Old Style"/>
          <w:bCs/>
          <w:lang w:val="nl-NL"/>
        </w:rPr>
        <w:t xml:space="preserve"> </w:t>
      </w:r>
    </w:p>
    <w:p w14:paraId="03699947" w14:textId="77777777" w:rsidR="00F1452D" w:rsidRPr="0028531E" w:rsidRDefault="00F1452D" w:rsidP="0028531E">
      <w:pPr>
        <w:jc w:val="both"/>
        <w:rPr>
          <w:rFonts w:ascii="Bookman Old Style" w:hAnsi="Bookman Old Style"/>
          <w:bCs/>
          <w:lang w:val="nl-NL"/>
        </w:rPr>
      </w:pPr>
    </w:p>
    <w:p w14:paraId="0F9E5C1C" w14:textId="77777777" w:rsidR="0028531E" w:rsidRPr="0028531E" w:rsidRDefault="0028531E" w:rsidP="0028531E">
      <w:pPr>
        <w:ind w:left="1134"/>
        <w:jc w:val="both"/>
        <w:rPr>
          <w:rFonts w:ascii="Bookman Old Style" w:hAnsi="Bookman Old Style"/>
          <w:lang w:val="nl-NL"/>
        </w:rPr>
      </w:pPr>
      <w:r w:rsidRPr="00741275">
        <w:rPr>
          <w:rFonts w:ascii="Bookman Old Style" w:hAnsi="Bookman Old Style"/>
          <w:b/>
          <w:i/>
          <w:iCs/>
        </w:rPr>
        <w:t>Abstract</w:t>
      </w:r>
      <w:r w:rsidRPr="0028531E">
        <w:rPr>
          <w:rFonts w:ascii="Bookman Old Style" w:hAnsi="Bookman Old Style"/>
          <w:b/>
        </w:rPr>
        <w:t>---</w:t>
      </w:r>
      <w:r w:rsidRPr="0028531E">
        <w:rPr>
          <w:rFonts w:ascii="Bookman Old Style" w:hAnsi="Bookman Old Style"/>
        </w:rPr>
        <w:t xml:space="preserve">Colorectal cancer is reported as the third most common case worldwide in men and accounts for 10% of all cancers. Matrix metalloproteinases (MMPs) comprise a family of zinc-dependent endopeptidases that affect the degradation and remodeling of extracellular components and contribute to the three Hallmarks of cancer. TIMP-1 is an endogenous MMP inhibitor with multiple functions related to the tumor microenvironment and colorectal cancer development. This study used a prospective cohort study design to prove that colorectal mucosa with high TIMP-1 expression is a prognostic factor in the incidence of colorectal cancer compared to normal/low TIMP values. This study involved 53 samples consisting of 27 polyp patients and 26 colorectal cancer patients. The bivariate analysis results showed a significant difference between TIMP-1 levels in cancer patients and colorectal polyps (p&lt;0.001; 95%CI: 33.65-67.31). The cut-off value of 66.50 obtained a sensitivity value of 80.8% and a specificity value of 77.8% (p&lt;0.001). Spearman rho correlation </w:t>
      </w:r>
      <w:r w:rsidRPr="0028531E">
        <w:rPr>
          <w:rFonts w:ascii="Bookman Old Style" w:hAnsi="Bookman Old Style"/>
        </w:rPr>
        <w:lastRenderedPageBreak/>
        <w:t>test found a significant positive correlation between TIMP-1 levels and cases of colorectal cancer (p&lt;0.001) of 0.680.</w:t>
      </w:r>
      <w:bookmarkStart w:id="0" w:name="_Hlk118898252"/>
      <w:bookmarkEnd w:id="0"/>
      <w:r w:rsidRPr="0028531E">
        <w:rPr>
          <w:rFonts w:ascii="Bookman Old Style" w:eastAsia="TimesNewRomanPSMT" w:hAnsi="Bookman Old Style"/>
        </w:rPr>
        <w:t xml:space="preserve"> This study shows a significant relationship between TIMP-1 levels and colorectal cancer, where TIMP-1 is a good predictor of colorectal cancer incidence.</w:t>
      </w:r>
    </w:p>
    <w:p w14:paraId="49405013" w14:textId="77777777" w:rsidR="0028531E" w:rsidRPr="0028531E" w:rsidRDefault="0028531E" w:rsidP="0028531E">
      <w:pPr>
        <w:jc w:val="both"/>
        <w:rPr>
          <w:rFonts w:ascii="Bookman Old Style" w:hAnsi="Bookman Old Style"/>
        </w:rPr>
      </w:pPr>
    </w:p>
    <w:p w14:paraId="434CC1B1" w14:textId="77777777" w:rsidR="0028531E" w:rsidRPr="0028531E" w:rsidRDefault="0028531E" w:rsidP="00F1452D">
      <w:pPr>
        <w:ind w:left="1134"/>
        <w:contextualSpacing/>
        <w:rPr>
          <w:rFonts w:ascii="Bookman Old Style" w:hAnsi="Bookman Old Style"/>
          <w:bCs/>
        </w:rPr>
      </w:pPr>
      <w:r w:rsidRPr="00F1452D">
        <w:rPr>
          <w:rFonts w:ascii="Bookman Old Style" w:hAnsi="Bookman Old Style"/>
          <w:b/>
          <w:i/>
          <w:iCs/>
        </w:rPr>
        <w:t>Keywords</w:t>
      </w:r>
      <w:r w:rsidRPr="0028531E">
        <w:rPr>
          <w:rFonts w:ascii="Bookman Old Style" w:hAnsi="Bookman Old Style"/>
          <w:b/>
        </w:rPr>
        <w:t>---</w:t>
      </w:r>
      <w:r w:rsidRPr="0028531E">
        <w:rPr>
          <w:rFonts w:ascii="Bookman Old Style" w:hAnsi="Bookman Old Style"/>
          <w:bCs/>
        </w:rPr>
        <w:t xml:space="preserve">colorectal </w:t>
      </w:r>
      <w:proofErr w:type="gramStart"/>
      <w:r w:rsidRPr="0028531E">
        <w:rPr>
          <w:rFonts w:ascii="Bookman Old Style" w:hAnsi="Bookman Old Style"/>
          <w:bCs/>
        </w:rPr>
        <w:t>cancer,</w:t>
      </w:r>
      <w:r w:rsidRPr="0028531E">
        <w:rPr>
          <w:rFonts w:ascii="Bookman Old Style" w:eastAsia="TimesNewRomanPSMT" w:hAnsi="Bookman Old Style"/>
        </w:rPr>
        <w:t>TIMP</w:t>
      </w:r>
      <w:proofErr w:type="gramEnd"/>
      <w:r w:rsidRPr="0028531E">
        <w:rPr>
          <w:rFonts w:ascii="Bookman Old Style" w:eastAsia="TimesNewRomanPSMT" w:hAnsi="Bookman Old Style"/>
        </w:rPr>
        <w:t>-1, MMP1, MMPs, Colorectal polyps</w:t>
      </w:r>
    </w:p>
    <w:p w14:paraId="72AF8681" w14:textId="77777777" w:rsidR="0028531E" w:rsidRPr="0028531E" w:rsidRDefault="0028531E" w:rsidP="00F1452D">
      <w:pPr>
        <w:contextualSpacing/>
        <w:rPr>
          <w:rFonts w:ascii="Bookman Old Style" w:hAnsi="Bookman Old Style"/>
          <w:bCs/>
        </w:rPr>
      </w:pPr>
    </w:p>
    <w:p w14:paraId="52C7EF95" w14:textId="77777777" w:rsidR="0028531E" w:rsidRPr="0028531E" w:rsidRDefault="0028531E" w:rsidP="0028531E">
      <w:pPr>
        <w:contextualSpacing/>
        <w:jc w:val="both"/>
        <w:rPr>
          <w:rFonts w:ascii="Bookman Old Style" w:hAnsi="Bookman Old Style"/>
          <w:bCs/>
        </w:rPr>
      </w:pPr>
    </w:p>
    <w:p w14:paraId="5B3F168C" w14:textId="77777777" w:rsidR="0028531E" w:rsidRPr="0028531E" w:rsidRDefault="0028531E" w:rsidP="0028531E">
      <w:pPr>
        <w:contextualSpacing/>
        <w:jc w:val="both"/>
        <w:rPr>
          <w:rFonts w:ascii="Bookman Old Style" w:hAnsi="Bookman Old Style"/>
          <w:b/>
        </w:rPr>
      </w:pPr>
      <w:r w:rsidRPr="0028531E">
        <w:rPr>
          <w:rFonts w:ascii="Bookman Old Style" w:hAnsi="Bookman Old Style"/>
          <w:b/>
        </w:rPr>
        <w:t>Introduction</w:t>
      </w:r>
    </w:p>
    <w:p w14:paraId="1E50D686" w14:textId="77777777" w:rsidR="0028531E" w:rsidRPr="0028531E" w:rsidRDefault="0028531E" w:rsidP="0028531E">
      <w:pPr>
        <w:contextualSpacing/>
        <w:jc w:val="both"/>
        <w:rPr>
          <w:rFonts w:ascii="Bookman Old Style" w:hAnsi="Bookman Old Style"/>
        </w:rPr>
      </w:pPr>
    </w:p>
    <w:p w14:paraId="1E42881B" w14:textId="77777777" w:rsidR="0028531E" w:rsidRPr="0028531E" w:rsidRDefault="0028531E" w:rsidP="0028531E">
      <w:pPr>
        <w:jc w:val="both"/>
        <w:rPr>
          <w:rFonts w:ascii="Bookman Old Style" w:hAnsi="Bookman Old Style"/>
        </w:rPr>
      </w:pPr>
      <w:r w:rsidRPr="0028531E">
        <w:rPr>
          <w:rFonts w:ascii="Bookman Old Style" w:hAnsi="Bookman Old Style"/>
        </w:rPr>
        <w:t>Colorectal cancer (CRC) is reported as the third most common case worldwide in males, with an incidence of 1,361,000 cases, accounting for 10% of all cancers. It was also mentioned that CRC was the second most common type of cancer in women, with 614,000 cases representing 9.2% of all cancers</w:t>
      </w:r>
      <w:r w:rsidRPr="0028531E">
        <w:rPr>
          <w:rFonts w:ascii="Bookman Old Style" w:hAnsi="Bookman Old Style"/>
        </w:rPr>
        <w:fldChar w:fldCharType="begin" w:fldLock="1"/>
      </w:r>
      <w:r w:rsidRPr="0028531E">
        <w:rPr>
          <w:rFonts w:ascii="Bookman Old Style" w:hAnsi="Bookman Old Style"/>
        </w:rPr>
        <w:instrText>ADDIN CSL_CITATION {"citationItems":[{"id":"ITEM-1","itemData":{"DOI":"10.18203/2320-6012.ijrms20174914","ISSN":"2320-6071","abstract":"Colorectal cancer (CCR) is the third most common cancer worldwide in men and women, the second largest cause of death related to cancer, and the main cause of death in gastrointestinal cancer. The risk of developing this cancer is related to bad alimentary habits, smoking, intestinal inflammatory disease, polyps, genetic factors, and aging. Of the patients that are diagnosed with colorectal cancer 90% are older than 50, with a median age of 64 years; however, the disease is more aggressive in patients that are diagnosed at younger ages. According to the American Cancer Association, it was accounted for more than 49,700 deaths in 2015. The goal is to reduce the mortality rate with early diagnosis and treatment. Currently, the survival rate is used to predict a patient’s prognosis. The patient is considered to have a positive familial history if a first-degree relative has been diagnosed with colorectal cancer or colonic polyps before the age of 60, or also if two or more first-degree relatives have been diagnosed with cancer or polyps at any age. There are several methods for detecting colorectal cancer, such as the guaiac test, immunochemical test of stool, DNA stool test, sigmoidoscopy, colonoscopy, and barium enema. The stage in which the cancer is detected determines the prognosis, survival, and treatment of the patient. Provide a review about generalities, genetic basis, risk factors, protective factors, clinical course, diagnostic methods, therapy and survival in colorectal cancer. Conducted research from different databases such as PubMed, Medline, MedScape, on the definition, genetic factors, classification, risk factors, protective factors, diagnostic methods, epidemiology, survival and treatment of colorectal cancer. Articles from 2000 to 2017 were included using the following keywords.","author":[{"dropping-particle":"","family":"Granados-Romero","given":"Juan José","non-dropping-particle":"","parse-names":false,"suffix":""},{"dropping-particle":"","family":"Valderrama-Treviño","given":"Alan Isaac","non-dropping-particle":"","parse-names":false,"suffix":""},{"dropping-particle":"","family":"Contreras-Flores","given":"Ericka Hazzel","non-dropping-particle":"","parse-names":false,"suffix":""},{"dropping-particle":"","family":"Barrera-Mera","given":"Baltazar","non-dropping-particle":"","parse-names":false,"suffix":""},{"dropping-particle":"","family":"Herrera Enríquez","given":"Miguel","non-dropping-particle":"","parse-names":false,"suffix":""},{"dropping-particle":"","family":"Uriarte-Ruíz","given":"Karen","non-dropping-particle":"","parse-names":false,"suffix":""},{"dropping-particle":"","family":"Ceballos-Villalba","given":"Jesús Carlos","non-dropping-particle":"","parse-names":false,"suffix":""},{"dropping-particle":"","family":"Estrada-Mata","given":"Aranza Guadalupe","non-dropping-particle":"","parse-names":false,"suffix":""},{"dropping-particle":"","family":"Alvarado Rodríguez","given":"Cristopher","non-dropping-particle":"","parse-names":false,"suffix":""},{"dropping-particle":"","family":"Arauz-Peña","given":"Gerardo","non-dropping-particle":"","parse-names":false,"suffix":""}],"container-title":"International Journal of Research in Medical Sciences","id":"ITEM-1","issue":"11","issued":{"date-parts":[["2017"]]},"page":"4667","title":"Colorectal cancer: a review","type":"article-journal","volume":"5"},"uris":["http://www.mendeley.com/documents/?uuid=2a3bc59c-bc54-41fb-9a03-436281290f10"]}],"mendeley":{"formattedCitation":"(Granados-Romero &lt;i&gt;et al.&lt;/i&gt;, 2017)","plainTextFormattedCitation":"(Granados-Romero et al., 2017)","previouslyFormattedCitation":"(Granados-Romero &lt;i&gt;et al.&lt;/i&gt;, 2017)"},"properties":{"noteIndex":0},"schema":"https://github.com/citation-style-language/schema/raw/master/csl-citation.json"}</w:instrText>
      </w:r>
      <w:r w:rsidRPr="0028531E">
        <w:rPr>
          <w:rFonts w:ascii="Bookman Old Style" w:hAnsi="Bookman Old Style"/>
        </w:rPr>
        <w:fldChar w:fldCharType="separate"/>
      </w:r>
      <w:r w:rsidRPr="0028531E">
        <w:rPr>
          <w:rFonts w:ascii="Bookman Old Style" w:hAnsi="Bookman Old Style"/>
          <w:noProof/>
        </w:rPr>
        <w:t>(Granados-Romero et al., 2017)</w:t>
      </w:r>
      <w:r w:rsidRPr="0028531E">
        <w:rPr>
          <w:rFonts w:ascii="Bookman Old Style" w:hAnsi="Bookman Old Style"/>
        </w:rPr>
        <w:fldChar w:fldCharType="end"/>
      </w:r>
      <w:r w:rsidRPr="0028531E">
        <w:rPr>
          <w:rFonts w:ascii="Bookman Old Style" w:hAnsi="Bookman Old Style"/>
        </w:rPr>
        <w:t xml:space="preserve">. Based on the Surveillance, Epidemiology, and Final Results program, in the United States, an estimated 132,7000 new cases of colorectal cancer in 2015. With a mortality rate of 8.1/100,000 population and an estimated 49,700 deaths per year, it is also stated that the incidence of CRC is more common in states with developing countries (25.1/100,000), compared to less developed countries (3.9/100,000) </w:t>
      </w:r>
      <w:r w:rsidRPr="0028531E">
        <w:rPr>
          <w:rFonts w:ascii="Bookman Old Style" w:hAnsi="Bookman Old Style"/>
        </w:rPr>
        <w:fldChar w:fldCharType="begin" w:fldLock="1"/>
      </w:r>
      <w:r w:rsidRPr="0028531E">
        <w:rPr>
          <w:rFonts w:ascii="Bookman Old Style" w:hAnsi="Bookman Old Style"/>
        </w:rPr>
        <w:instrText>ADDIN CSL_CITATION {"citationItems":[{"id":"ITEM-1","itemData":{"DOI":"10.3322/caac.21492","ISSN":"1542-4863","PMID":"30207593","abstract":"This article provides a status report on the global burden of cancer worldwide using the GLOBOCAN 2018 estimates of cancer incidence and mortality produced by the International Agency for Research on Cancer, with a focus on geographic variability across 20 world regions. There will be an estimated 18.1 million new cancer cases (17.0 million excluding nonmelanoma skin cancer) and 9.6 million cancer deaths (9.5 million excluding nonmelanoma skin cancer) in 2018. In both sexes combined, lung cancer is the most commonly diagnosed cancer (11.6% of the total cases) and the leading cause of cancer death (18.4% of the total cancer deaths), closely followed by female breast cancer (11.6%), prostate cancer (7.1%), and colorectal cancer (6.1%) for incidence and colorectal cancer (9.2%), stomach cancer (8.2%), and liver cancer (8.2%) for mortality. Lung cancer is the most frequent cancer and the leading cause of cancer death among males, followed by prostate and colorectal cancer (for incidence) and liver and stomach cancer (for mortality). Among females, breast cancer is the most commonly diagnosed cancer and the leading cause of cancer death, followed by colorectal and lung cancer (for incidence), and vice versa (for mortality); cervical cancer ranks fourth for both incidence and mortality. The most frequently diagnosed cancer and the leading cause of cancer death, however, substantially vary across countries and within each country depending on the degree of economic development and associated social and life style factors. It is noteworthy that high-quality cancer registry data, the basis for planning and implementing evidence-based cancer control programs, are not available in most low- and middle-income countries. The Global Initiative for Cancer Registry Development is an international partnership that supports better estimation, as well as the collection and use of local data, to prioritize and evaluate national cancer control efforts. CA: A Cancer Journal for Clinicians 2018;0:1-31. © 2018 American Cancer Society.","author":[{"dropping-particle":"","family":"Bray","given":"Freddie","non-dropping-particle":"","parse-names":false,"suffix":""},{"dropping-particle":"","family":"Ferlay","given":"Jacques","non-dropping-particle":"","parse-names":false,"suffix":""},{"dropping-particle":"","family":"Soerjomataram","given":"Isabelle","non-dropping-particle":"","parse-names":false,"suffix":""},{"dropping-particle":"","family":"Siegel","given":"Rebecca L.","non-dropping-particle":"","parse-names":false,"suffix":""},{"dropping-particle":"","family":"Torre","given":"Lindsey A.","non-dropping-particle":"","parse-names":false,"suffix":""},{"dropping-particle":"","family":"Jemal","given":"Ahmedin","non-dropping-particle":"","parse-names":false,"suffix":""}],"container-title":"CA: A Cancer Journal for Clinicians","id":"ITEM-1","issue":"6","issued":{"date-parts":[["2018"]]},"page":"394-424","title":"Global cancer statistics 2018: GLOBOCAN estimates of incidence and mortality worldwide for 36 cancers in 185 countries","type":"article-journal","volume":"68"},"uris":["http://www.mendeley.com/documents/?uuid=3fced666-f5a3-440b-9a63-c748f40f5954"]}],"mendeley":{"formattedCitation":"(Bray &lt;i&gt;et al.&lt;/i&gt;, 2018)","plainTextFormattedCitation":"(Bray et al., 2018)","previouslyFormattedCitation":"(Bray &lt;i&gt;et al.&lt;/i&gt;, 2018)"},"properties":{"noteIndex":0},"schema":"https://github.com/citation-style-language/schema/raw/master/csl-citation.json"}</w:instrText>
      </w:r>
      <w:r w:rsidRPr="0028531E">
        <w:rPr>
          <w:rFonts w:ascii="Bookman Old Style" w:hAnsi="Bookman Old Style"/>
        </w:rPr>
        <w:fldChar w:fldCharType="separate"/>
      </w:r>
      <w:r w:rsidRPr="0028531E">
        <w:rPr>
          <w:rFonts w:ascii="Bookman Old Style" w:hAnsi="Bookman Old Style"/>
          <w:noProof/>
        </w:rPr>
        <w:t>(Bray et al., 2018)</w:t>
      </w:r>
      <w:r w:rsidRPr="0028531E">
        <w:rPr>
          <w:rFonts w:ascii="Bookman Old Style" w:hAnsi="Bookman Old Style"/>
        </w:rPr>
        <w:fldChar w:fldCharType="end"/>
      </w:r>
      <w:r w:rsidRPr="0028531E">
        <w:rPr>
          <w:rFonts w:ascii="Bookman Old Style" w:hAnsi="Bookman Old Style"/>
        </w:rPr>
        <w:t>.</w:t>
      </w:r>
    </w:p>
    <w:p w14:paraId="796C3AD6" w14:textId="77777777" w:rsidR="0028531E" w:rsidRPr="0028531E" w:rsidRDefault="0028531E" w:rsidP="0028531E">
      <w:pPr>
        <w:jc w:val="both"/>
        <w:rPr>
          <w:rFonts w:ascii="Bookman Old Style" w:hAnsi="Bookman Old Style"/>
        </w:rPr>
      </w:pPr>
    </w:p>
    <w:p w14:paraId="481A2B70" w14:textId="77777777" w:rsidR="0028531E" w:rsidRPr="0028531E" w:rsidRDefault="0028531E" w:rsidP="0028531E">
      <w:pPr>
        <w:jc w:val="both"/>
        <w:rPr>
          <w:rFonts w:ascii="Bookman Old Style" w:hAnsi="Bookman Old Style"/>
        </w:rPr>
      </w:pPr>
      <w:r w:rsidRPr="0028531E">
        <w:rPr>
          <w:rFonts w:ascii="Bookman Old Style" w:hAnsi="Bookman Old Style"/>
        </w:rPr>
        <w:t>In Indonesia, colorectal cancer is the third most common type of cancer. In 2008, Indonesia was ranked fourth among ASEAN countries, with an incidence rate of 17.2 per 100,000 population, and this figure is predicted to continue to increase from year to year</w:t>
      </w:r>
      <w:r w:rsidRPr="0028531E">
        <w:rPr>
          <w:rFonts w:ascii="Bookman Old Style" w:hAnsi="Bookman Old Style"/>
        </w:rPr>
        <w:fldChar w:fldCharType="begin" w:fldLock="1"/>
      </w:r>
      <w:r w:rsidRPr="0028531E">
        <w:rPr>
          <w:rFonts w:ascii="Bookman Old Style" w:hAnsi="Bookman Old Style"/>
        </w:rPr>
        <w:instrText>ADDIN CSL_CITATION {"citationItems":[{"id":"ITEM-1","itemData":{"DOI":"10.7314/APJCP.2012.13.2.407","ISSN":"2476762X","PMID":"22524798","abstract":"The ACTION (Asean CosTs In ONcology) Study will be one of the largest observational studies of the burden of cancer ever conducted in Asia. The study will involve 10,000 newly diagnosed patients with cancer and will be carried out across eight low- and middle income countries within the ASEAN region (Indonesia, Thailand, Malaysia, Cambodia, Myanmar, Viet Nam, Laos and the Philippines). Patients will be interviewed three times over 12 months to assess their health, use of health care services, out of pocket costs related to their illness, social and quality of life issues. The project is a collaboration between the George Institute for Global Health, the ASEAN Foundation and Roche. The aim of thestudy is to assess the health and socioeconomic impact of cancer on patients in ASEAN communities, and the factors that may impact on these outcomes.","author":[{"dropping-particle":"","family":"Jan","given":"Stephen","non-dropping-particle":"","parse-names":false,"suffix":""},{"dropping-particle":"","family":"Kimman","given":"Merel","non-dropping-particle":"","parse-names":false,"suffix":""},{"dropping-particle":"","family":"Kingston","given":"David","non-dropping-particle":"","parse-names":false,"suffix":""},{"dropping-particle":"","family":"Woodward","given":"Mark","non-dropping-particle":"","parse-names":false,"suffix":""}],"container-title":"Asian Pacific Journal of Cancer Prevention","id":"ITEM-1","issue":"2","issued":{"date-parts":[["2012"]]},"page":"407-409","title":"The socioeconomic burden of cancer in member countries of the association of southeast asian nations (ASEAN) - Stakeholder meeting report","type":"article-journal","volume":"13"},"uris":["http://www.mendeley.com/documents/?uuid=0547481f-e405-42e9-bddf-9c32cf0095c9"]}],"mendeley":{"formattedCitation":"(Jan &lt;i&gt;et al.&lt;/i&gt;, 2012)","plainTextFormattedCitation":"(Jan et al., 2012)","previouslyFormattedCitation":"(Jan &lt;i&gt;et al.&lt;/i&gt;, 2012)"},"properties":{"noteIndex":0},"schema":"https://github.com/citation-style-language/schema/raw/master/csl-citation.json"}</w:instrText>
      </w:r>
      <w:r w:rsidRPr="0028531E">
        <w:rPr>
          <w:rFonts w:ascii="Bookman Old Style" w:hAnsi="Bookman Old Style"/>
        </w:rPr>
        <w:fldChar w:fldCharType="separate"/>
      </w:r>
      <w:r w:rsidRPr="0028531E">
        <w:rPr>
          <w:rFonts w:ascii="Bookman Old Style" w:hAnsi="Bookman Old Style"/>
          <w:noProof/>
        </w:rPr>
        <w:t xml:space="preserve"> (Jan et al., 2012)</w:t>
      </w:r>
      <w:r w:rsidRPr="0028531E">
        <w:rPr>
          <w:rFonts w:ascii="Bookman Old Style" w:hAnsi="Bookman Old Style"/>
        </w:rPr>
        <w:fldChar w:fldCharType="end"/>
      </w:r>
      <w:r w:rsidRPr="0028531E">
        <w:rPr>
          <w:rFonts w:ascii="Bookman Old Style" w:hAnsi="Bookman Old Style"/>
        </w:rPr>
        <w:t>.</w:t>
      </w:r>
    </w:p>
    <w:p w14:paraId="2F013FBB" w14:textId="77777777" w:rsidR="0028531E" w:rsidRPr="0028531E" w:rsidRDefault="0028531E" w:rsidP="0028531E">
      <w:pPr>
        <w:jc w:val="both"/>
        <w:rPr>
          <w:rFonts w:ascii="Bookman Old Style" w:hAnsi="Bookman Old Style"/>
        </w:rPr>
      </w:pPr>
    </w:p>
    <w:p w14:paraId="5DF6ACD1" w14:textId="77777777" w:rsidR="0028531E" w:rsidRPr="0028531E" w:rsidRDefault="0028531E" w:rsidP="0028531E">
      <w:pPr>
        <w:jc w:val="both"/>
        <w:rPr>
          <w:rFonts w:ascii="Bookman Old Style" w:hAnsi="Bookman Old Style"/>
        </w:rPr>
      </w:pPr>
      <w:r w:rsidRPr="0028531E">
        <w:rPr>
          <w:rFonts w:ascii="Bookman Old Style" w:hAnsi="Bookman Old Style"/>
        </w:rPr>
        <w:t xml:space="preserve">TIMP-1 is a family of TIMPs, which are multifunctional proteins that act directly on cell apoptosis and metastasis and are characterized as endogenous MMP inhibitors. In addition to its inhibitory activity against MMPs, TIMP-1 promotes cell proliferation in various cell types. As a cytokine and a significant regulator of ECM degradation, TIMP-1 has multiple functions related to the tumor microenvironment and cancer development. The higher the TIMP-1, the higher the activity of inhibited MMPs so that it can be used as a marker in showing the proliferation of a tumor </w:t>
      </w:r>
      <w:r w:rsidRPr="0028531E">
        <w:rPr>
          <w:rFonts w:ascii="Bookman Old Style" w:hAnsi="Bookman Old Style"/>
        </w:rPr>
        <w:fldChar w:fldCharType="begin" w:fldLock="1"/>
      </w:r>
      <w:r w:rsidRPr="0028531E">
        <w:rPr>
          <w:rFonts w:ascii="Bookman Old Style" w:hAnsi="Bookman Old Style"/>
        </w:rPr>
        <w:instrText>ADDIN CSL_CITATION {"citationItems":[{"id":"ITEM-1","itemData":{"DOI":"10.1177/1724600819866202","ISSN":"17246008","PMID":"31578137","abstract":"Objective: Tissue inhibitor of metalloproteinases 1 (TIMP-1) and matrix metalloproteinase 7 (MMP-7) were reported to have potent growth promoting activity. Lack of balance between MMPs and TIMPs is an important factor in the development of gastrointestinal malignancies. Methods: We collected serum samples from 97 patients with metastatic colorectal cancer and 79 samples from healthy controls. Serum levels of TIMP-1 and MMP-7 were measured immunochemically and compared with standard tumor markers carcinoembryonic antigen and CA19-9. Results: Serum levels of TIMP-1 and MMP-7 were significantly higher in patients with colorectal cancer compared to healthy controls (both, P &lt; 0.001). TIMP-1 and MMP-7 correlate with the presence of colon involvement (P = 0.001; P = 0.012) and the presence of liver metastases (P = 0.002; P = 0.037), and negatively correlate with pulmonary metastases (P = 0.014; P = 0.005). MMP-7 had similar sensitivity and the same specificity as carcinoembryonic antigen. TIMP-1 and MMP-7 had better sensitivity than CA19-9. TIMP-1 and MMP-7 level correlate with worse outcome (P = 0.002). Conclusion: The results indicate that TIMP-1 and MMP-7 are effective biomarkers in patients with metastatic colorectal cancer with good sensitivity. TIMP-1 and MMP-7 levels strongly correlate with the extent of liver disease and have prognostic value.","author":[{"dropping-particle":"","family":"Vočka","given":"Michal","non-dropping-particle":"","parse-names":false,"suffix":""},{"dropping-particle":"","family":"Langer","given":"Daniel","non-dropping-particle":"","parse-names":false,"suffix":""},{"dropping-particle":"","family":"Fryba","given":"Vladimir","non-dropping-particle":"","parse-names":false,"suffix":""},{"dropping-particle":"","family":"Petrtyl","given":"Jaromir","non-dropping-particle":"","parse-names":false,"suffix":""},{"dropping-particle":"","family":"Hanus","given":"Tomas","non-dropping-particle":"","parse-names":false,"suffix":""},{"dropping-particle":"","family":"Kalousova","given":"Marta","non-dropping-particle":"","parse-names":false,"suffix":""},{"dropping-particle":"","family":"Zima","given":"Tomas","non-dropping-particle":"","parse-names":false,"suffix":""},{"dropping-particle":"","family":"Petruzelka","given":"Lubos","non-dropping-particle":"","parse-names":false,"suffix":""}],"container-title":"International Journal of Biological Markers","id":"ITEM-1","issue":"3","issued":{"date-parts":[["2019"]]},"page":"292-301","title":"Serum levels of TIMP-1 and MMP-7 as potential biomarkers in patients with metastatic colorectal cancer","type":"article-journal","volume":"34"},"uris":["http://www.mendeley.com/documents/?uuid=f5a98b4a-f251-47da-b6cc-22ba0f314c25"]},{"id":"ITEM-2","itemData":{"DOI":"10.3892/ol.2012.691","ISSN":"17921074","abstract":"The purpose of this study was to develop predictive/prognostic markers for liver metastasis and recurrence following liver resection, investigating not only clinical parameters but also molecular markers that are known to be involved in the process of liver metastasis. Seventy colon cancer patients with either no distant metastasis (group A) or with resectable synchronous liver metastasis only (group B) were prospectively enrolled. All 70 patients received curative resection of the primary tumor. Group B patients underwent additional liver resection. Clinical parameters as well as serum levels of molecular markers [carcinoembryonic antigen (CEA), osteopontin, matrix metalloproteinase-7 (MMP-7), tissue inhibitor of metalloproteinase-1 (TIMP-1), hepatocyte growth factor (HGF), vascular endothelial growth factor (VEGF) and E-selectin] from both tumor drainage (DV) and peripheral veins (PV) were analyzed. Results showed the clinical parameters were not significantly different between groups A and B. Nonetheless, the levels of VEGF and TIMP-1 from both DV and PV were significantly higher in group B compared to group A. In group A, 10 out of 33 (27.0%) patients developed metachronous liver metastasis. High levels of VEGF and TIMP-1 from DV were found to be significantly correlated with metachronous liver metastasis. In group B, 20 out of 33 (60.6%) patients had intrahepatic recurrence following resection of synchronous liver metastasis. The levels of VEGF from DV and the levels of TIMP-1 both from PV and DV were found to be significantly correlated with intrahepatic recurrence. Forty patients (7 from group A and 33 from group B) had liver resection and their 5-year disease-free survival rate was 15.9%. Univariate and multivariate analyses of prognostic factors revealed that the levels of VEGF and TIMP-1 from DV as well as the presence of lymph node metastasis from the primary tumor, synchronous metastasis and R1 resection were significantly associated with worse prognosis. The colon cancer patients with high levels of VEGF and TIMP-1 detected from the DV at the time of their initial surgery were found to have a high risk of metachronous liver metastasis and hepatic recurrence following the resection of synchronous liver metastasis. The high levels of VEGF and TIMP-1 were found to be significant predictive factors for poor prognosis following liver resection. These results require validation but pave the way for future transitional or clinical studies that may…","author":[{"dropping-particle":"","family":"Min","given":"Byung Soh","non-dropping-particle":"","parse-names":false,"suffix":""},{"dropping-particle":"","family":"Kim","given":"Nam Kyu","non-dropping-particle":"","parse-names":false,"suffix":""},{"dropping-particle":"","family":"Jeong","given":"Hee Chul","non-dropping-particle":"","parse-names":false,"suffix":""},{"dropping-particle":"","family":"Chung","given":"Hyun Cheol","non-dropping-particle":"","parse-names":false,"suffix":""}],"container-title":"Oncology Letters","id":"ITEM-2","issue":"1","issued":{"date-parts":[["2012"]]},"page":"123-130","title":"High levels of serum VEGF and TIMP-1 are correlated with colon cancer liver metastasis and intrahepatic recurrence after liver resection","type":"article-journal","volume":"4"},"uris":["http://www.mendeley.com/documents/?uuid=886b0f95-3dee-4453-920b-4db13afe13ad"]}],"mendeley":{"formattedCitation":"(Min &lt;i&gt;et al.&lt;/i&gt;, 2012; Vočka &lt;i&gt;et al.&lt;/i&gt;, 2019)","plainTextFormattedCitation":"(Min et al., 2012; Vočka et al., 2019)","previouslyFormattedCitation":"(Min &lt;i&gt;et al.&lt;/i&gt;, 2012; Vočka &lt;i&gt;et al.&lt;/i&gt;, 2019)"},"properties":{"noteIndex":0},"schema":"https://github.com/citation-style-language/schema/raw/master/csl-citation.json"}</w:instrText>
      </w:r>
      <w:r w:rsidRPr="0028531E">
        <w:rPr>
          <w:rFonts w:ascii="Bookman Old Style" w:hAnsi="Bookman Old Style"/>
        </w:rPr>
        <w:fldChar w:fldCharType="separate"/>
      </w:r>
      <w:r w:rsidRPr="0028531E">
        <w:rPr>
          <w:rFonts w:ascii="Bookman Old Style" w:hAnsi="Bookman Old Style"/>
          <w:noProof/>
        </w:rPr>
        <w:t>(Min et al., 2012; Vočka et al., 2019)</w:t>
      </w:r>
      <w:r w:rsidRPr="0028531E">
        <w:rPr>
          <w:rFonts w:ascii="Bookman Old Style" w:hAnsi="Bookman Old Style"/>
        </w:rPr>
        <w:fldChar w:fldCharType="end"/>
      </w:r>
      <w:r w:rsidRPr="0028531E">
        <w:rPr>
          <w:rFonts w:ascii="Bookman Old Style" w:hAnsi="Bookman Old Style"/>
        </w:rPr>
        <w:t>.</w:t>
      </w:r>
    </w:p>
    <w:p w14:paraId="5B50BD7E" w14:textId="77777777" w:rsidR="0028531E" w:rsidRPr="0028531E" w:rsidRDefault="0028531E" w:rsidP="0028531E">
      <w:pPr>
        <w:jc w:val="both"/>
        <w:rPr>
          <w:rFonts w:ascii="Bookman Old Style" w:hAnsi="Bookman Old Style"/>
        </w:rPr>
      </w:pPr>
    </w:p>
    <w:p w14:paraId="4382765F" w14:textId="77777777" w:rsidR="0028531E" w:rsidRPr="0028531E" w:rsidRDefault="0028531E" w:rsidP="0028531E">
      <w:pPr>
        <w:jc w:val="both"/>
        <w:rPr>
          <w:rFonts w:ascii="Bookman Old Style" w:hAnsi="Bookman Old Style"/>
        </w:rPr>
      </w:pPr>
      <w:r w:rsidRPr="0028531E">
        <w:rPr>
          <w:rFonts w:ascii="Bookman Old Style" w:hAnsi="Bookman Old Style"/>
        </w:rPr>
        <w:t xml:space="preserve">As with other types of cancer, optimal therapy depends on accurate diagnosis and early detection, which are critical factors in reducing mortality in CRC. Screening to discover the early stages of CRC requires invasive and/or noninvasive examination. Examinations that use invasive techniques are flexible sigmoidoscopy, colonoscopy, double contrast barium enema, and noninvasive tests such as fecal occult blood testing (FOBT), examination of tumor markers (CEA, FIT, TIMP-1, etc.). For people over 50 years of age with moderate risk, CRC screening is done by noninvasive methods. As for people at high risk, the screening method is invasive. Detection using invasive methods such as colonoscopy is still an option because of the high accuracy of up to 95%. However, </w:t>
      </w:r>
      <w:r w:rsidRPr="0028531E">
        <w:rPr>
          <w:rFonts w:ascii="Bookman Old Style" w:hAnsi="Bookman Old Style"/>
          <w:color w:val="000000"/>
        </w:rPr>
        <w:t>However, multiple complications, high cost, and lack of patient compliance reduce the applicability and sensitivity of the test</w:t>
      </w:r>
      <w:r w:rsidRPr="0028531E">
        <w:rPr>
          <w:rFonts w:ascii="Bookman Old Style" w:hAnsi="Bookman Old Style"/>
        </w:rPr>
        <w:t xml:space="preserve"> </w:t>
      </w:r>
      <w:r w:rsidRPr="0028531E">
        <w:rPr>
          <w:rFonts w:ascii="Bookman Old Style" w:hAnsi="Bookman Old Style"/>
        </w:rPr>
        <w:fldChar w:fldCharType="begin" w:fldLock="1"/>
      </w:r>
      <w:r w:rsidRPr="0028531E">
        <w:rPr>
          <w:rFonts w:ascii="Bookman Old Style" w:hAnsi="Bookman Old Style"/>
        </w:rPr>
        <w:instrText>ADDIN CSL_CITATION {"citationItems":[{"id":"ITEM-1","itemData":{"DOI":"10.1016/j.cgh.2009.05.032","ISSN":"15423565","PMID":"19523536","abstract":"Background &amp; Aims: There is an extensive yet inconsistent body of literature reporting on the prevalence of adenomatous polyps (adenomas) and colorectal cancer among average risk individuals. The objectives of our study were to determine the pooled prevalence of adenomas and colorectal cancer, as well as nonadvanced and advanced adenomas, among average risk North Americans. Methods: Articles were obtained by searching electronic databases (MEDLINE: 1950 through March 2008 and EMBASE: 1980 through March 2008), bibliographies, major journals, and conference proceedings, with no language restrictions. Two reviewers independently selected cross-sectional studies reporting adenoma and colorectal cancer prevalence rates in average risk individuals and assessed studies for inclusion and quality, and extracted the data for analysis. Pooled adenoma and colorectal cancer prevalence rates were estimated using fixed and random effects models. Stratification and metaregression was used to assess heterogeneity. Results: Based on 18 included studies, the pooled prevalence of adenomas, colorectal cancer, nonadvanced adenomas, and advanced adenomas was 30.2%, 0.3%, 17.7%, and 5.7%, respectively. Heterogeneity was observed in the pooled prevalence rates for overall adenomas, advanced adenomas, and colorectal cancer and was explained by the mean age (≥ 65 years vs &lt; 65 years) with older cohorts reporting higher prevalence rates. None of the study quality indicators was found to be significant predictors of heterogeneity. Conclusions: The high prevalence of advanced adenomas and colorectal cancer, especially among older screen-eligible individuals, provides impetus for expanding colorectal cancer screening programs. Furthermore, the pooled prevalence estimates can be used as quality indicators for established programs. © 2009 AGA Institute.","author":[{"dropping-particle":"","family":"Heitman","given":"Steven J.","non-dropping-particle":"","parse-names":false,"suffix":""},{"dropping-particle":"","family":"Ronksley","given":"Paul E.","non-dropping-particle":"","parse-names":false,"suffix":""},{"dropping-particle":"","family":"Hilsden","given":"Robert J.","non-dropping-particle":"","parse-names":false,"suffix":""},{"dropping-particle":"","family":"Manns","given":"Braden J.","non-dropping-particle":"","parse-names":false,"suffix":""},{"dropping-particle":"","family":"Rostom","given":"Alaa","non-dropping-particle":"","parse-names":false,"suffix":""},{"dropping-particle":"","family":"Hemmelgarn","given":"Brenda R.","non-dropping-particle":"","parse-names":false,"suffix":""}],"container-title":"Clinical Gastroenterology and Hepatology","id":"ITEM-1","issue":"12","issued":{"date-parts":[["2009"]]},"page":"1272-1278","publisher":"Elsevier Inc.","title":"Prevalence of Adenomas and Colorectal Cancer in Average Risk Individuals: A Systematic Review and Meta-analysis","type":"article-journal","volume":"7"},"uris":["http://www.mendeley.com/documents/?uuid=58f62df9-acd3-4d69-b417-efd1176a63e8"]}],"mendeley":{"formattedCitation":"(Heitman &lt;i&gt;et al.&lt;/i&gt;, 2009)","plainTextFormattedCitation":"(Heitman et al., 2009)","previouslyFormattedCitation":"(Heitman &lt;i&gt;et al.&lt;/i&gt;, 2009)"},"properties":{"noteIndex":0},"schema":"https://github.com/citation-style-language/schema/raw/master/csl-citation.json"}</w:instrText>
      </w:r>
      <w:r w:rsidRPr="0028531E">
        <w:rPr>
          <w:rFonts w:ascii="Bookman Old Style" w:hAnsi="Bookman Old Style"/>
        </w:rPr>
        <w:fldChar w:fldCharType="separate"/>
      </w:r>
      <w:r w:rsidRPr="0028531E">
        <w:rPr>
          <w:rFonts w:ascii="Bookman Old Style" w:hAnsi="Bookman Old Style"/>
          <w:noProof/>
        </w:rPr>
        <w:t>(Heitman et al., 2009)</w:t>
      </w:r>
      <w:r w:rsidRPr="0028531E">
        <w:rPr>
          <w:rFonts w:ascii="Bookman Old Style" w:hAnsi="Bookman Old Style"/>
        </w:rPr>
        <w:fldChar w:fldCharType="end"/>
      </w:r>
      <w:r w:rsidRPr="0028531E">
        <w:rPr>
          <w:rFonts w:ascii="Bookman Old Style" w:hAnsi="Bookman Old Style"/>
        </w:rPr>
        <w:t>.</w:t>
      </w:r>
    </w:p>
    <w:p w14:paraId="7F03EE0E" w14:textId="77777777" w:rsidR="0028531E" w:rsidRPr="0028531E" w:rsidRDefault="0028531E" w:rsidP="0028531E">
      <w:pPr>
        <w:jc w:val="both"/>
        <w:rPr>
          <w:rFonts w:ascii="Bookman Old Style" w:hAnsi="Bookman Old Style"/>
        </w:rPr>
      </w:pPr>
    </w:p>
    <w:p w14:paraId="54D07D3B" w14:textId="77777777" w:rsidR="0028531E" w:rsidRPr="0028531E" w:rsidRDefault="0028531E" w:rsidP="0028531E">
      <w:pPr>
        <w:jc w:val="both"/>
        <w:rPr>
          <w:rFonts w:ascii="Bookman Old Style" w:hAnsi="Bookman Old Style"/>
        </w:rPr>
      </w:pPr>
      <w:r w:rsidRPr="0028531E">
        <w:rPr>
          <w:rFonts w:ascii="Bookman Old Style" w:hAnsi="Bookman Old Style"/>
        </w:rPr>
        <w:lastRenderedPageBreak/>
        <w:t>For this reason, an alternative examination is needed to establish the diagnosis of CRC at an early stage with minimal complications and low prices without reducing applicability and sensitivity to reduce morbidity and mortality from colorectal cancer patients. In this study, researchers will assess the amount of TIMP-1 in Colorectal Polyps and CRC. Where this test has the potential for screening and diagnostic of CRC, it is easy to perform, where TIMP-1 serum is taken in peripheral venous blood.</w:t>
      </w:r>
    </w:p>
    <w:p w14:paraId="5D611ADF" w14:textId="77777777" w:rsidR="0028531E" w:rsidRPr="0028531E" w:rsidRDefault="0028531E" w:rsidP="0028531E">
      <w:pPr>
        <w:jc w:val="both"/>
        <w:rPr>
          <w:rFonts w:ascii="Bookman Old Style" w:hAnsi="Bookman Old Style"/>
        </w:rPr>
      </w:pPr>
    </w:p>
    <w:p w14:paraId="7150C010" w14:textId="11386697" w:rsidR="0028531E" w:rsidRDefault="0028531E" w:rsidP="0028531E">
      <w:pPr>
        <w:pStyle w:val="BodyText"/>
        <w:spacing w:after="0"/>
        <w:jc w:val="both"/>
        <w:rPr>
          <w:rFonts w:ascii="Bookman Old Style" w:hAnsi="Bookman Old Style"/>
          <w:b/>
          <w:lang w:val="en-US"/>
        </w:rPr>
      </w:pPr>
      <w:r w:rsidRPr="0028531E">
        <w:rPr>
          <w:rFonts w:ascii="Bookman Old Style" w:hAnsi="Bookman Old Style"/>
          <w:b/>
          <w:lang w:val="en-US"/>
        </w:rPr>
        <w:t>Method</w:t>
      </w:r>
    </w:p>
    <w:p w14:paraId="3BC47151" w14:textId="77777777" w:rsidR="00F1452D" w:rsidRPr="0028531E" w:rsidRDefault="00F1452D" w:rsidP="0028531E">
      <w:pPr>
        <w:pStyle w:val="BodyText"/>
        <w:spacing w:after="0"/>
        <w:jc w:val="both"/>
        <w:rPr>
          <w:rFonts w:ascii="Bookman Old Style" w:hAnsi="Bookman Old Style"/>
          <w:b/>
          <w:lang w:val="en-US"/>
        </w:rPr>
      </w:pPr>
    </w:p>
    <w:p w14:paraId="41E52AF6" w14:textId="7A3C0EAF" w:rsidR="0028531E" w:rsidRDefault="0028531E" w:rsidP="0028531E">
      <w:pPr>
        <w:pStyle w:val="BodyText"/>
        <w:spacing w:after="0"/>
        <w:jc w:val="both"/>
        <w:rPr>
          <w:rFonts w:ascii="Bookman Old Style" w:hAnsi="Bookman Old Style"/>
        </w:rPr>
      </w:pPr>
      <w:r w:rsidRPr="0028531E">
        <w:rPr>
          <w:rFonts w:ascii="Bookman Old Style" w:hAnsi="Bookman Old Style"/>
        </w:rPr>
        <w:t xml:space="preserve">This study used a two-stage study design, the first stage was a prospective cohort study to determine whether high TIMP-1 expression was a prognostic factor in the incidence of colorectal cancer, and the second stage was a cross-sectional study to determine whether high TIMP-1 expression was associated with colorectal cancer incidence. </w:t>
      </w:r>
    </w:p>
    <w:p w14:paraId="6D0C3CBE" w14:textId="77777777" w:rsidR="00F1452D" w:rsidRPr="0028531E" w:rsidRDefault="00F1452D" w:rsidP="0028531E">
      <w:pPr>
        <w:pStyle w:val="BodyText"/>
        <w:spacing w:after="0"/>
        <w:jc w:val="both"/>
        <w:rPr>
          <w:rFonts w:ascii="Bookman Old Style" w:hAnsi="Bookman Old Style"/>
          <w:bCs/>
          <w:lang w:val="en-US"/>
        </w:rPr>
      </w:pPr>
    </w:p>
    <w:p w14:paraId="0FADF0AB" w14:textId="098337E4" w:rsidR="0028531E" w:rsidRDefault="0028531E" w:rsidP="0028531E">
      <w:pPr>
        <w:pStyle w:val="BodyText"/>
        <w:spacing w:after="0"/>
        <w:jc w:val="both"/>
        <w:rPr>
          <w:rFonts w:ascii="Bookman Old Style" w:hAnsi="Bookman Old Style"/>
          <w:bCs/>
        </w:rPr>
      </w:pPr>
      <w:r w:rsidRPr="0028531E">
        <w:rPr>
          <w:rFonts w:ascii="Bookman Old Style" w:hAnsi="Bookman Old Style"/>
          <w:bCs/>
        </w:rPr>
        <w:t>Inclusion Criteria for Case Groups in a Prospective Cohort Study Design</w:t>
      </w:r>
    </w:p>
    <w:p w14:paraId="0A03EAD7" w14:textId="77777777" w:rsidR="00F1452D" w:rsidRPr="0028531E" w:rsidRDefault="00F1452D" w:rsidP="0028531E">
      <w:pPr>
        <w:pStyle w:val="BodyText"/>
        <w:spacing w:after="0"/>
        <w:jc w:val="both"/>
        <w:rPr>
          <w:rFonts w:ascii="Bookman Old Style" w:eastAsia="TimesNewRomanPSMT" w:hAnsi="Bookman Old Style"/>
          <w:bCs/>
          <w:lang w:val="en-US"/>
        </w:rPr>
      </w:pPr>
    </w:p>
    <w:p w14:paraId="1EF686AC" w14:textId="5354F8BF" w:rsidR="0028531E" w:rsidRPr="00F1452D" w:rsidRDefault="0028531E" w:rsidP="0028531E">
      <w:pPr>
        <w:pStyle w:val="ListParagraph"/>
        <w:numPr>
          <w:ilvl w:val="0"/>
          <w:numId w:val="21"/>
        </w:numPr>
        <w:tabs>
          <w:tab w:val="left" w:pos="720"/>
        </w:tabs>
        <w:spacing w:after="0" w:line="240" w:lineRule="auto"/>
        <w:jc w:val="both"/>
        <w:rPr>
          <w:rFonts w:ascii="Bookman Old Style" w:hAnsi="Bookman Old Style"/>
          <w:sz w:val="20"/>
          <w:szCs w:val="20"/>
          <w:lang w:val="id-ID"/>
        </w:rPr>
      </w:pPr>
      <w:r w:rsidRPr="0028531E">
        <w:rPr>
          <w:rFonts w:ascii="Bookman Old Style" w:hAnsi="Bookman Old Style"/>
          <w:sz w:val="20"/>
          <w:szCs w:val="20"/>
        </w:rPr>
        <w:t xml:space="preserve">Paraffin blocks preparations from surgery or colonoscopy of colorectal </w:t>
      </w:r>
      <w:proofErr w:type="spellStart"/>
      <w:r w:rsidRPr="0028531E">
        <w:rPr>
          <w:rFonts w:ascii="Bookman Old Style" w:hAnsi="Bookman Old Style"/>
          <w:sz w:val="20"/>
          <w:szCs w:val="20"/>
        </w:rPr>
        <w:t>tumors</w:t>
      </w:r>
      <w:proofErr w:type="spellEnd"/>
      <w:r w:rsidRPr="0028531E">
        <w:rPr>
          <w:rFonts w:ascii="Bookman Old Style" w:hAnsi="Bookman Old Style"/>
          <w:sz w:val="20"/>
          <w:szCs w:val="20"/>
        </w:rPr>
        <w:t xml:space="preserve"> with histopathology of colorectal cancer.</w:t>
      </w:r>
    </w:p>
    <w:p w14:paraId="7DD78B87" w14:textId="77777777" w:rsidR="00F1452D" w:rsidRPr="0028531E" w:rsidRDefault="00F1452D" w:rsidP="00F1452D">
      <w:pPr>
        <w:pStyle w:val="ListParagraph"/>
        <w:tabs>
          <w:tab w:val="left" w:pos="720"/>
        </w:tabs>
        <w:spacing w:after="0" w:line="240" w:lineRule="auto"/>
        <w:jc w:val="both"/>
        <w:rPr>
          <w:rFonts w:ascii="Bookman Old Style" w:hAnsi="Bookman Old Style"/>
          <w:sz w:val="20"/>
          <w:szCs w:val="20"/>
          <w:lang w:val="id-ID"/>
        </w:rPr>
      </w:pPr>
    </w:p>
    <w:p w14:paraId="729930F3" w14:textId="5110B992" w:rsidR="0028531E" w:rsidRPr="00F1452D" w:rsidRDefault="0028531E" w:rsidP="0028531E">
      <w:pPr>
        <w:pStyle w:val="ListParagraph"/>
        <w:numPr>
          <w:ilvl w:val="0"/>
          <w:numId w:val="21"/>
        </w:numPr>
        <w:tabs>
          <w:tab w:val="left" w:pos="720"/>
        </w:tabs>
        <w:spacing w:after="0" w:line="240" w:lineRule="auto"/>
        <w:jc w:val="both"/>
        <w:rPr>
          <w:rFonts w:ascii="Bookman Old Style" w:hAnsi="Bookman Old Style"/>
          <w:sz w:val="20"/>
          <w:szCs w:val="20"/>
          <w:lang w:val="id-ID"/>
        </w:rPr>
      </w:pPr>
      <w:r w:rsidRPr="0028531E">
        <w:rPr>
          <w:rFonts w:ascii="Bookman Old Style" w:hAnsi="Bookman Old Style"/>
          <w:sz w:val="20"/>
          <w:szCs w:val="20"/>
        </w:rPr>
        <w:t xml:space="preserve">Complete clinical data include age, gender, and </w:t>
      </w:r>
      <w:proofErr w:type="spellStart"/>
      <w:r w:rsidRPr="0028531E">
        <w:rPr>
          <w:rFonts w:ascii="Bookman Old Style" w:hAnsi="Bookman Old Style"/>
          <w:sz w:val="20"/>
          <w:szCs w:val="20"/>
        </w:rPr>
        <w:t>tumor</w:t>
      </w:r>
      <w:proofErr w:type="spellEnd"/>
      <w:r w:rsidRPr="0028531E">
        <w:rPr>
          <w:rFonts w:ascii="Bookman Old Style" w:hAnsi="Bookman Old Style"/>
          <w:sz w:val="20"/>
          <w:szCs w:val="20"/>
        </w:rPr>
        <w:t xml:space="preserve"> location listed on SIMARS or medical records.</w:t>
      </w:r>
    </w:p>
    <w:p w14:paraId="09ABF5E0" w14:textId="77777777" w:rsidR="00F1452D" w:rsidRPr="00F1452D" w:rsidRDefault="00F1452D" w:rsidP="00F1452D">
      <w:pPr>
        <w:tabs>
          <w:tab w:val="left" w:pos="720"/>
        </w:tabs>
        <w:jc w:val="both"/>
        <w:rPr>
          <w:rFonts w:ascii="Bookman Old Style" w:hAnsi="Bookman Old Style"/>
          <w:lang w:val="id-ID"/>
        </w:rPr>
      </w:pPr>
    </w:p>
    <w:p w14:paraId="79F7CA84" w14:textId="74921793" w:rsidR="0028531E" w:rsidRPr="00F1452D" w:rsidRDefault="0028531E" w:rsidP="0028531E">
      <w:pPr>
        <w:pStyle w:val="ListParagraph"/>
        <w:numPr>
          <w:ilvl w:val="0"/>
          <w:numId w:val="21"/>
        </w:numPr>
        <w:tabs>
          <w:tab w:val="left" w:pos="720"/>
        </w:tabs>
        <w:spacing w:after="0" w:line="240" w:lineRule="auto"/>
        <w:jc w:val="both"/>
        <w:rPr>
          <w:rFonts w:ascii="Bookman Old Style" w:hAnsi="Bookman Old Style"/>
          <w:sz w:val="20"/>
          <w:szCs w:val="20"/>
          <w:lang w:val="id-ID"/>
        </w:rPr>
      </w:pPr>
      <w:r w:rsidRPr="0028531E">
        <w:rPr>
          <w:rFonts w:ascii="Bookman Old Style" w:hAnsi="Bookman Old Style"/>
          <w:sz w:val="20"/>
          <w:szCs w:val="20"/>
        </w:rPr>
        <w:t>The paraffin blocks were in good condition and contained sufficient tissue for re-cutting.</w:t>
      </w:r>
    </w:p>
    <w:p w14:paraId="239F4FE0" w14:textId="77777777" w:rsidR="00F1452D" w:rsidRPr="00F1452D" w:rsidRDefault="00F1452D" w:rsidP="00F1452D">
      <w:pPr>
        <w:tabs>
          <w:tab w:val="left" w:pos="720"/>
        </w:tabs>
        <w:jc w:val="both"/>
        <w:rPr>
          <w:rFonts w:ascii="Bookman Old Style" w:hAnsi="Bookman Old Style"/>
          <w:lang w:val="id-ID"/>
        </w:rPr>
      </w:pPr>
    </w:p>
    <w:p w14:paraId="32212E0E" w14:textId="21690AA7" w:rsidR="0028531E" w:rsidRDefault="0028531E" w:rsidP="0028531E">
      <w:pPr>
        <w:tabs>
          <w:tab w:val="left" w:pos="720"/>
        </w:tabs>
        <w:jc w:val="both"/>
        <w:rPr>
          <w:rFonts w:ascii="Bookman Old Style" w:hAnsi="Bookman Old Style"/>
          <w:bCs/>
          <w:lang w:val="id-ID"/>
        </w:rPr>
      </w:pPr>
      <w:r w:rsidRPr="0028531E">
        <w:rPr>
          <w:rFonts w:ascii="Bookman Old Style" w:hAnsi="Bookman Old Style"/>
          <w:bCs/>
          <w:lang w:val="id-ID"/>
        </w:rPr>
        <w:t>Control Group Inclusion Criteria in the Prospective Cohort Study Design</w:t>
      </w:r>
    </w:p>
    <w:p w14:paraId="55CA5A0B" w14:textId="77777777" w:rsidR="00F1452D" w:rsidRPr="0028531E" w:rsidRDefault="00F1452D" w:rsidP="0028531E">
      <w:pPr>
        <w:tabs>
          <w:tab w:val="left" w:pos="720"/>
        </w:tabs>
        <w:jc w:val="both"/>
        <w:rPr>
          <w:rFonts w:ascii="Bookman Old Style" w:hAnsi="Bookman Old Style"/>
          <w:bCs/>
          <w:lang w:val="id-ID"/>
        </w:rPr>
      </w:pPr>
    </w:p>
    <w:p w14:paraId="3DF08B8E" w14:textId="4EED4CBC" w:rsidR="0028531E" w:rsidRPr="00F1452D" w:rsidRDefault="0028531E" w:rsidP="0028531E">
      <w:pPr>
        <w:pStyle w:val="ListParagraph"/>
        <w:numPr>
          <w:ilvl w:val="0"/>
          <w:numId w:val="22"/>
        </w:numPr>
        <w:tabs>
          <w:tab w:val="left" w:pos="720"/>
        </w:tabs>
        <w:spacing w:after="0" w:line="240" w:lineRule="auto"/>
        <w:jc w:val="both"/>
        <w:rPr>
          <w:rFonts w:ascii="Bookman Old Style" w:hAnsi="Bookman Old Style"/>
          <w:sz w:val="20"/>
          <w:szCs w:val="20"/>
          <w:lang w:val="id-ID"/>
        </w:rPr>
      </w:pPr>
      <w:r w:rsidRPr="0028531E">
        <w:rPr>
          <w:rFonts w:ascii="Bookman Old Style" w:hAnsi="Bookman Old Style"/>
          <w:bCs/>
          <w:sz w:val="20"/>
          <w:szCs w:val="20"/>
        </w:rPr>
        <w:t>preparation</w:t>
      </w:r>
      <w:r w:rsidRPr="0028531E">
        <w:rPr>
          <w:rFonts w:ascii="Bookman Old Style" w:hAnsi="Bookman Old Style"/>
          <w:sz w:val="20"/>
          <w:szCs w:val="20"/>
        </w:rPr>
        <w:t xml:space="preserve"> paraffin block of surgical materials or colonoscopy of colorectal </w:t>
      </w:r>
      <w:proofErr w:type="spellStart"/>
      <w:r w:rsidRPr="0028531E">
        <w:rPr>
          <w:rFonts w:ascii="Bookman Old Style" w:hAnsi="Bookman Old Style"/>
          <w:sz w:val="20"/>
          <w:szCs w:val="20"/>
        </w:rPr>
        <w:t>tumors</w:t>
      </w:r>
      <w:proofErr w:type="spellEnd"/>
      <w:r w:rsidRPr="0028531E">
        <w:rPr>
          <w:rFonts w:ascii="Bookman Old Style" w:hAnsi="Bookman Old Style"/>
          <w:sz w:val="20"/>
          <w:szCs w:val="20"/>
        </w:rPr>
        <w:t xml:space="preserve"> showing well-differentiated dysplasia without malignancy.</w:t>
      </w:r>
    </w:p>
    <w:p w14:paraId="00A5A1FD" w14:textId="77777777" w:rsidR="00F1452D" w:rsidRPr="0028531E" w:rsidRDefault="00F1452D" w:rsidP="00F1452D">
      <w:pPr>
        <w:pStyle w:val="ListParagraph"/>
        <w:tabs>
          <w:tab w:val="left" w:pos="720"/>
        </w:tabs>
        <w:spacing w:after="0" w:line="240" w:lineRule="auto"/>
        <w:jc w:val="both"/>
        <w:rPr>
          <w:rFonts w:ascii="Bookman Old Style" w:hAnsi="Bookman Old Style"/>
          <w:sz w:val="20"/>
          <w:szCs w:val="20"/>
          <w:lang w:val="id-ID"/>
        </w:rPr>
      </w:pPr>
    </w:p>
    <w:p w14:paraId="50269077" w14:textId="6D442AA5" w:rsidR="0028531E" w:rsidRPr="00F1452D" w:rsidRDefault="0028531E" w:rsidP="0028531E">
      <w:pPr>
        <w:pStyle w:val="ListParagraph"/>
        <w:numPr>
          <w:ilvl w:val="0"/>
          <w:numId w:val="22"/>
        </w:numPr>
        <w:tabs>
          <w:tab w:val="left" w:pos="720"/>
        </w:tabs>
        <w:spacing w:after="0" w:line="240" w:lineRule="auto"/>
        <w:jc w:val="both"/>
        <w:rPr>
          <w:rFonts w:ascii="Bookman Old Style" w:hAnsi="Bookman Old Style"/>
          <w:sz w:val="20"/>
          <w:szCs w:val="20"/>
          <w:lang w:val="id-ID"/>
        </w:rPr>
      </w:pPr>
      <w:r w:rsidRPr="0028531E">
        <w:rPr>
          <w:rFonts w:ascii="Bookman Old Style" w:hAnsi="Bookman Old Style"/>
          <w:sz w:val="20"/>
          <w:szCs w:val="20"/>
        </w:rPr>
        <w:t xml:space="preserve">Complete clinical data include age, gender, and </w:t>
      </w:r>
      <w:proofErr w:type="spellStart"/>
      <w:r w:rsidRPr="0028531E">
        <w:rPr>
          <w:rFonts w:ascii="Bookman Old Style" w:hAnsi="Bookman Old Style"/>
          <w:sz w:val="20"/>
          <w:szCs w:val="20"/>
        </w:rPr>
        <w:t>tumor</w:t>
      </w:r>
      <w:proofErr w:type="spellEnd"/>
      <w:r w:rsidRPr="0028531E">
        <w:rPr>
          <w:rFonts w:ascii="Bookman Old Style" w:hAnsi="Bookman Old Style"/>
          <w:sz w:val="20"/>
          <w:szCs w:val="20"/>
        </w:rPr>
        <w:t xml:space="preserve"> location listed on SIMARS or medical records.</w:t>
      </w:r>
    </w:p>
    <w:p w14:paraId="6B24DD92" w14:textId="77777777" w:rsidR="00F1452D" w:rsidRPr="00F1452D" w:rsidRDefault="00F1452D" w:rsidP="00F1452D">
      <w:pPr>
        <w:tabs>
          <w:tab w:val="left" w:pos="720"/>
        </w:tabs>
        <w:jc w:val="both"/>
        <w:rPr>
          <w:rFonts w:ascii="Bookman Old Style" w:hAnsi="Bookman Old Style"/>
          <w:lang w:val="id-ID"/>
        </w:rPr>
      </w:pPr>
    </w:p>
    <w:p w14:paraId="728102D0" w14:textId="6A9CAD53" w:rsidR="0028531E" w:rsidRPr="00F1452D" w:rsidRDefault="0028531E" w:rsidP="0028531E">
      <w:pPr>
        <w:pStyle w:val="ListParagraph"/>
        <w:numPr>
          <w:ilvl w:val="0"/>
          <w:numId w:val="22"/>
        </w:numPr>
        <w:tabs>
          <w:tab w:val="left" w:pos="720"/>
        </w:tabs>
        <w:spacing w:after="0" w:line="240" w:lineRule="auto"/>
        <w:jc w:val="both"/>
        <w:rPr>
          <w:rFonts w:ascii="Bookman Old Style" w:hAnsi="Bookman Old Style"/>
          <w:sz w:val="20"/>
          <w:szCs w:val="20"/>
          <w:lang w:val="id-ID"/>
        </w:rPr>
      </w:pPr>
      <w:r w:rsidRPr="0028531E">
        <w:rPr>
          <w:rFonts w:ascii="Bookman Old Style" w:hAnsi="Bookman Old Style"/>
          <w:sz w:val="20"/>
          <w:szCs w:val="20"/>
        </w:rPr>
        <w:t>The paraffin blocks were in good condition and contained sufficient tissue for re-cutting.</w:t>
      </w:r>
    </w:p>
    <w:p w14:paraId="17B249E2" w14:textId="77777777" w:rsidR="00F1452D" w:rsidRPr="00F1452D" w:rsidRDefault="00F1452D" w:rsidP="00F1452D">
      <w:pPr>
        <w:tabs>
          <w:tab w:val="left" w:pos="720"/>
        </w:tabs>
        <w:jc w:val="both"/>
        <w:rPr>
          <w:rFonts w:ascii="Bookman Old Style" w:hAnsi="Bookman Old Style"/>
          <w:lang w:val="id-ID"/>
        </w:rPr>
      </w:pPr>
    </w:p>
    <w:p w14:paraId="5A55E0BE" w14:textId="73F44426" w:rsidR="0028531E" w:rsidRDefault="0028531E" w:rsidP="0028531E">
      <w:pPr>
        <w:tabs>
          <w:tab w:val="left" w:pos="720"/>
        </w:tabs>
        <w:jc w:val="both"/>
        <w:rPr>
          <w:rFonts w:ascii="Bookman Old Style" w:hAnsi="Bookman Old Style"/>
          <w:bCs/>
        </w:rPr>
      </w:pPr>
      <w:r w:rsidRPr="0028531E">
        <w:rPr>
          <w:rFonts w:ascii="Bookman Old Style" w:hAnsi="Bookman Old Style"/>
          <w:bCs/>
        </w:rPr>
        <w:t>Exclusion Criteria in the Prospective Cohort Study Design</w:t>
      </w:r>
    </w:p>
    <w:p w14:paraId="7CE74F27" w14:textId="77777777" w:rsidR="00F1452D" w:rsidRPr="0028531E" w:rsidRDefault="00F1452D" w:rsidP="0028531E">
      <w:pPr>
        <w:tabs>
          <w:tab w:val="left" w:pos="720"/>
        </w:tabs>
        <w:jc w:val="both"/>
        <w:rPr>
          <w:rFonts w:ascii="Bookman Old Style" w:hAnsi="Bookman Old Style"/>
          <w:bCs/>
        </w:rPr>
      </w:pPr>
    </w:p>
    <w:p w14:paraId="2B9BCA8B" w14:textId="50D473FE" w:rsidR="0028531E" w:rsidRDefault="0028531E" w:rsidP="0028531E">
      <w:pPr>
        <w:pStyle w:val="ListParagraph"/>
        <w:numPr>
          <w:ilvl w:val="0"/>
          <w:numId w:val="23"/>
        </w:numPr>
        <w:tabs>
          <w:tab w:val="left" w:pos="360"/>
        </w:tabs>
        <w:spacing w:after="0" w:line="240" w:lineRule="auto"/>
        <w:jc w:val="both"/>
        <w:rPr>
          <w:rFonts w:ascii="Bookman Old Style" w:hAnsi="Bookman Old Style"/>
          <w:sz w:val="20"/>
          <w:szCs w:val="20"/>
        </w:rPr>
      </w:pPr>
      <w:r w:rsidRPr="0028531E">
        <w:rPr>
          <w:rFonts w:ascii="Bookman Old Style" w:hAnsi="Bookman Old Style"/>
          <w:sz w:val="20"/>
          <w:szCs w:val="20"/>
        </w:rPr>
        <w:t>Paraffin block with no appearance or in a damaged condition</w:t>
      </w:r>
    </w:p>
    <w:p w14:paraId="0172B59D" w14:textId="77777777" w:rsidR="00F1452D" w:rsidRPr="0028531E" w:rsidRDefault="00F1452D" w:rsidP="00F1452D">
      <w:pPr>
        <w:pStyle w:val="ListParagraph"/>
        <w:tabs>
          <w:tab w:val="left" w:pos="360"/>
        </w:tabs>
        <w:spacing w:after="0" w:line="240" w:lineRule="auto"/>
        <w:jc w:val="both"/>
        <w:rPr>
          <w:rFonts w:ascii="Bookman Old Style" w:hAnsi="Bookman Old Style"/>
          <w:sz w:val="20"/>
          <w:szCs w:val="20"/>
        </w:rPr>
      </w:pPr>
    </w:p>
    <w:p w14:paraId="12B5F118" w14:textId="28ADEF73" w:rsidR="0028531E" w:rsidRDefault="0028531E" w:rsidP="0028531E">
      <w:pPr>
        <w:pStyle w:val="ListParagraph"/>
        <w:numPr>
          <w:ilvl w:val="0"/>
          <w:numId w:val="23"/>
        </w:numPr>
        <w:tabs>
          <w:tab w:val="left" w:pos="360"/>
        </w:tabs>
        <w:spacing w:after="0" w:line="240" w:lineRule="auto"/>
        <w:jc w:val="both"/>
        <w:rPr>
          <w:rFonts w:ascii="Bookman Old Style" w:hAnsi="Bookman Old Style"/>
          <w:sz w:val="20"/>
          <w:szCs w:val="20"/>
        </w:rPr>
      </w:pPr>
      <w:r w:rsidRPr="0028531E">
        <w:rPr>
          <w:rFonts w:ascii="Bookman Old Style" w:hAnsi="Bookman Old Style"/>
          <w:sz w:val="20"/>
          <w:szCs w:val="20"/>
        </w:rPr>
        <w:t>Incomplete medical records</w:t>
      </w:r>
    </w:p>
    <w:p w14:paraId="33C7D716" w14:textId="77777777" w:rsidR="00F1452D" w:rsidRPr="0028531E" w:rsidRDefault="00F1452D" w:rsidP="00F1452D">
      <w:pPr>
        <w:pStyle w:val="ListParagraph"/>
        <w:tabs>
          <w:tab w:val="left" w:pos="360"/>
        </w:tabs>
        <w:spacing w:after="0" w:line="240" w:lineRule="auto"/>
        <w:jc w:val="both"/>
        <w:rPr>
          <w:rFonts w:ascii="Bookman Old Style" w:hAnsi="Bookman Old Style"/>
          <w:sz w:val="20"/>
          <w:szCs w:val="20"/>
        </w:rPr>
      </w:pPr>
    </w:p>
    <w:p w14:paraId="68EEDAD7" w14:textId="149330D6" w:rsidR="0028531E" w:rsidRDefault="0028531E" w:rsidP="0028531E">
      <w:pPr>
        <w:pStyle w:val="ListParagraph"/>
        <w:numPr>
          <w:ilvl w:val="0"/>
          <w:numId w:val="23"/>
        </w:numPr>
        <w:tabs>
          <w:tab w:val="left" w:pos="360"/>
        </w:tabs>
        <w:spacing w:after="0" w:line="240" w:lineRule="auto"/>
        <w:jc w:val="both"/>
        <w:rPr>
          <w:rFonts w:ascii="Bookman Old Style" w:hAnsi="Bookman Old Style"/>
          <w:sz w:val="20"/>
          <w:szCs w:val="20"/>
        </w:rPr>
      </w:pPr>
      <w:r w:rsidRPr="0028531E">
        <w:rPr>
          <w:rFonts w:ascii="Bookman Old Style" w:hAnsi="Bookman Old Style"/>
          <w:sz w:val="20"/>
          <w:szCs w:val="20"/>
        </w:rPr>
        <w:t>Inadequate immunohistochemical results</w:t>
      </w:r>
    </w:p>
    <w:p w14:paraId="6DC548A9" w14:textId="77777777" w:rsidR="00F1452D" w:rsidRPr="0028531E" w:rsidRDefault="00F1452D" w:rsidP="00F1452D">
      <w:pPr>
        <w:pStyle w:val="ListParagraph"/>
        <w:tabs>
          <w:tab w:val="left" w:pos="360"/>
        </w:tabs>
        <w:spacing w:after="0" w:line="240" w:lineRule="auto"/>
        <w:jc w:val="both"/>
        <w:rPr>
          <w:rFonts w:ascii="Bookman Old Style" w:hAnsi="Bookman Old Style"/>
          <w:sz w:val="20"/>
          <w:szCs w:val="20"/>
        </w:rPr>
      </w:pPr>
    </w:p>
    <w:p w14:paraId="2E4E61FE" w14:textId="44816575" w:rsidR="0028531E" w:rsidRDefault="0028531E" w:rsidP="0028531E">
      <w:pPr>
        <w:pStyle w:val="ListParagraph"/>
        <w:numPr>
          <w:ilvl w:val="0"/>
          <w:numId w:val="23"/>
        </w:numPr>
        <w:tabs>
          <w:tab w:val="left" w:pos="360"/>
        </w:tabs>
        <w:spacing w:after="0" w:line="240" w:lineRule="auto"/>
        <w:jc w:val="both"/>
        <w:rPr>
          <w:rFonts w:ascii="Bookman Old Style" w:hAnsi="Bookman Old Style"/>
          <w:sz w:val="20"/>
          <w:szCs w:val="20"/>
        </w:rPr>
      </w:pPr>
      <w:r w:rsidRPr="0028531E">
        <w:rPr>
          <w:rFonts w:ascii="Bookman Old Style" w:hAnsi="Bookman Old Style"/>
          <w:sz w:val="20"/>
          <w:szCs w:val="20"/>
        </w:rPr>
        <w:t>Inadequate TIMP-1 serum levels</w:t>
      </w:r>
    </w:p>
    <w:p w14:paraId="331E0482" w14:textId="77777777" w:rsidR="00F1452D" w:rsidRPr="0028531E" w:rsidRDefault="00F1452D" w:rsidP="00F1452D">
      <w:pPr>
        <w:pStyle w:val="ListParagraph"/>
        <w:tabs>
          <w:tab w:val="left" w:pos="360"/>
        </w:tabs>
        <w:spacing w:after="0" w:line="240" w:lineRule="auto"/>
        <w:jc w:val="both"/>
        <w:rPr>
          <w:rFonts w:ascii="Bookman Old Style" w:hAnsi="Bookman Old Style"/>
          <w:sz w:val="20"/>
          <w:szCs w:val="20"/>
        </w:rPr>
      </w:pPr>
    </w:p>
    <w:p w14:paraId="101218BB" w14:textId="219FC240" w:rsidR="0028531E" w:rsidRDefault="0028531E" w:rsidP="0028531E">
      <w:pPr>
        <w:pStyle w:val="ListParagraph"/>
        <w:numPr>
          <w:ilvl w:val="0"/>
          <w:numId w:val="23"/>
        </w:numPr>
        <w:tabs>
          <w:tab w:val="left" w:pos="360"/>
        </w:tabs>
        <w:spacing w:after="0" w:line="240" w:lineRule="auto"/>
        <w:jc w:val="both"/>
        <w:rPr>
          <w:rFonts w:ascii="Bookman Old Style" w:hAnsi="Bookman Old Style"/>
          <w:sz w:val="20"/>
          <w:szCs w:val="20"/>
        </w:rPr>
      </w:pPr>
      <w:r w:rsidRPr="0028531E">
        <w:rPr>
          <w:rFonts w:ascii="Bookman Old Style" w:hAnsi="Bookman Old Style"/>
          <w:sz w:val="20"/>
          <w:szCs w:val="20"/>
        </w:rPr>
        <w:t>Subjects with an active autoimmune disorder</w:t>
      </w:r>
    </w:p>
    <w:p w14:paraId="08EBCE9F" w14:textId="77777777" w:rsidR="00F1452D" w:rsidRPr="0028531E" w:rsidRDefault="00F1452D" w:rsidP="00F1452D">
      <w:pPr>
        <w:pStyle w:val="ListParagraph"/>
        <w:tabs>
          <w:tab w:val="left" w:pos="360"/>
        </w:tabs>
        <w:spacing w:after="0" w:line="240" w:lineRule="auto"/>
        <w:jc w:val="both"/>
        <w:rPr>
          <w:rFonts w:ascii="Bookman Old Style" w:hAnsi="Bookman Old Style"/>
          <w:sz w:val="20"/>
          <w:szCs w:val="20"/>
        </w:rPr>
      </w:pPr>
    </w:p>
    <w:p w14:paraId="214B6E0A" w14:textId="465DBA7C" w:rsidR="0028531E" w:rsidRDefault="0028531E" w:rsidP="0028531E">
      <w:pPr>
        <w:pStyle w:val="ListParagraph"/>
        <w:numPr>
          <w:ilvl w:val="0"/>
          <w:numId w:val="23"/>
        </w:numPr>
        <w:tabs>
          <w:tab w:val="left" w:pos="360"/>
        </w:tabs>
        <w:spacing w:after="0" w:line="240" w:lineRule="auto"/>
        <w:jc w:val="both"/>
        <w:rPr>
          <w:rFonts w:ascii="Bookman Old Style" w:hAnsi="Bookman Old Style"/>
          <w:sz w:val="20"/>
          <w:szCs w:val="20"/>
        </w:rPr>
      </w:pPr>
      <w:r w:rsidRPr="0028531E">
        <w:rPr>
          <w:rFonts w:ascii="Bookman Old Style" w:hAnsi="Bookman Old Style"/>
          <w:sz w:val="20"/>
          <w:szCs w:val="20"/>
        </w:rPr>
        <w:t>Subjects with generalized acute inflammatory condition (Sepsis or SIRS)</w:t>
      </w:r>
    </w:p>
    <w:p w14:paraId="14C7F354" w14:textId="77777777" w:rsidR="00F95619" w:rsidRPr="00F95619" w:rsidRDefault="00F95619" w:rsidP="00F95619">
      <w:pPr>
        <w:tabs>
          <w:tab w:val="left" w:pos="360"/>
        </w:tabs>
        <w:jc w:val="both"/>
        <w:rPr>
          <w:rFonts w:ascii="Bookman Old Style" w:hAnsi="Bookman Old Style"/>
        </w:rPr>
      </w:pPr>
    </w:p>
    <w:p w14:paraId="65C940A2" w14:textId="09402CDB" w:rsidR="0028531E" w:rsidRDefault="0028531E" w:rsidP="0028531E">
      <w:pPr>
        <w:pStyle w:val="ListParagraph"/>
        <w:numPr>
          <w:ilvl w:val="0"/>
          <w:numId w:val="23"/>
        </w:numPr>
        <w:tabs>
          <w:tab w:val="left" w:pos="360"/>
        </w:tabs>
        <w:spacing w:after="0" w:line="240" w:lineRule="auto"/>
        <w:jc w:val="both"/>
        <w:rPr>
          <w:rFonts w:ascii="Bookman Old Style" w:hAnsi="Bookman Old Style"/>
          <w:sz w:val="20"/>
          <w:szCs w:val="20"/>
        </w:rPr>
      </w:pPr>
      <w:r w:rsidRPr="0028531E">
        <w:rPr>
          <w:rFonts w:ascii="Bookman Old Style" w:hAnsi="Bookman Old Style"/>
          <w:sz w:val="20"/>
          <w:szCs w:val="20"/>
        </w:rPr>
        <w:t>Subjects who are taking immunosuppressant drugs</w:t>
      </w:r>
    </w:p>
    <w:p w14:paraId="7E0572CB" w14:textId="77777777" w:rsidR="00F1452D" w:rsidRPr="0028531E" w:rsidRDefault="00F1452D" w:rsidP="00F1452D">
      <w:pPr>
        <w:pStyle w:val="ListParagraph"/>
        <w:tabs>
          <w:tab w:val="left" w:pos="360"/>
        </w:tabs>
        <w:spacing w:after="0" w:line="240" w:lineRule="auto"/>
        <w:jc w:val="both"/>
        <w:rPr>
          <w:rFonts w:ascii="Bookman Old Style" w:hAnsi="Bookman Old Style"/>
          <w:sz w:val="20"/>
          <w:szCs w:val="20"/>
        </w:rPr>
      </w:pPr>
    </w:p>
    <w:p w14:paraId="74C1803C" w14:textId="54751DEE" w:rsidR="0028531E" w:rsidRDefault="0028531E" w:rsidP="0028531E">
      <w:pPr>
        <w:pStyle w:val="ListParagraph"/>
        <w:numPr>
          <w:ilvl w:val="0"/>
          <w:numId w:val="23"/>
        </w:numPr>
        <w:tabs>
          <w:tab w:val="left" w:pos="360"/>
        </w:tabs>
        <w:spacing w:after="0" w:line="240" w:lineRule="auto"/>
        <w:jc w:val="both"/>
        <w:rPr>
          <w:rFonts w:ascii="Bookman Old Style" w:hAnsi="Bookman Old Style"/>
          <w:sz w:val="20"/>
          <w:szCs w:val="20"/>
        </w:rPr>
      </w:pPr>
      <w:r w:rsidRPr="0028531E">
        <w:rPr>
          <w:rFonts w:ascii="Bookman Old Style" w:hAnsi="Bookman Old Style"/>
          <w:sz w:val="20"/>
          <w:szCs w:val="20"/>
        </w:rPr>
        <w:t>Subjects with diseases that suppress the immune system (HIV/AIDS)</w:t>
      </w:r>
    </w:p>
    <w:p w14:paraId="2C0A086E" w14:textId="77777777" w:rsidR="00F1452D" w:rsidRPr="00F1452D" w:rsidRDefault="00F1452D" w:rsidP="00F1452D">
      <w:pPr>
        <w:tabs>
          <w:tab w:val="left" w:pos="360"/>
        </w:tabs>
        <w:jc w:val="both"/>
        <w:rPr>
          <w:rFonts w:ascii="Bookman Old Style" w:hAnsi="Bookman Old Style"/>
        </w:rPr>
      </w:pPr>
    </w:p>
    <w:p w14:paraId="3E616187" w14:textId="507A8C3D" w:rsidR="0028531E" w:rsidRDefault="0028531E" w:rsidP="0028531E">
      <w:pPr>
        <w:tabs>
          <w:tab w:val="left" w:pos="720"/>
        </w:tabs>
        <w:jc w:val="both"/>
        <w:rPr>
          <w:rFonts w:ascii="Bookman Old Style" w:hAnsi="Bookman Old Style"/>
        </w:rPr>
      </w:pPr>
      <w:r w:rsidRPr="0028531E">
        <w:rPr>
          <w:rFonts w:ascii="Bookman Old Style" w:hAnsi="Bookman Old Style"/>
          <w:bCs/>
          <w:lang w:val="id-ID"/>
        </w:rPr>
        <w:t>Cross-sectional study design inclusion criteria</w:t>
      </w:r>
      <w:r w:rsidRPr="0028531E">
        <w:rPr>
          <w:rFonts w:ascii="Bookman Old Style" w:hAnsi="Bookman Old Style"/>
          <w:bCs/>
        </w:rPr>
        <w:t xml:space="preserve"> </w:t>
      </w:r>
      <w:r w:rsidRPr="0028531E">
        <w:rPr>
          <w:rFonts w:ascii="Bookman Old Style" w:hAnsi="Bookman Old Style"/>
        </w:rPr>
        <w:t>are:</w:t>
      </w:r>
    </w:p>
    <w:p w14:paraId="0862E192" w14:textId="77777777" w:rsidR="00F1452D" w:rsidRPr="0028531E" w:rsidRDefault="00F1452D" w:rsidP="0028531E">
      <w:pPr>
        <w:tabs>
          <w:tab w:val="left" w:pos="720"/>
        </w:tabs>
        <w:jc w:val="both"/>
        <w:rPr>
          <w:rFonts w:ascii="Bookman Old Style" w:hAnsi="Bookman Old Style"/>
          <w:bCs/>
          <w:lang w:val="id-ID"/>
        </w:rPr>
      </w:pPr>
    </w:p>
    <w:p w14:paraId="38E748E4" w14:textId="5474569C" w:rsidR="0028531E" w:rsidRPr="00F1452D" w:rsidRDefault="0028531E" w:rsidP="0028531E">
      <w:pPr>
        <w:pStyle w:val="ListParagraph"/>
        <w:numPr>
          <w:ilvl w:val="0"/>
          <w:numId w:val="20"/>
        </w:numPr>
        <w:tabs>
          <w:tab w:val="left" w:pos="720"/>
        </w:tabs>
        <w:spacing w:after="0" w:line="240" w:lineRule="auto"/>
        <w:jc w:val="both"/>
        <w:rPr>
          <w:rFonts w:ascii="Bookman Old Style" w:hAnsi="Bookman Old Style"/>
          <w:sz w:val="20"/>
          <w:szCs w:val="20"/>
          <w:lang w:val="id-ID"/>
        </w:rPr>
      </w:pPr>
      <w:r w:rsidRPr="0028531E">
        <w:rPr>
          <w:rFonts w:ascii="Bookman Old Style" w:hAnsi="Bookman Old Style"/>
          <w:sz w:val="20"/>
          <w:szCs w:val="20"/>
        </w:rPr>
        <w:t>Patients with colorectal cancer will undergo a biopsy through a colonoscopy or a biopsy operation.</w:t>
      </w:r>
    </w:p>
    <w:p w14:paraId="0E2B7DD6" w14:textId="77777777" w:rsidR="00F1452D" w:rsidRPr="0028531E" w:rsidRDefault="00F1452D" w:rsidP="00F1452D">
      <w:pPr>
        <w:pStyle w:val="ListParagraph"/>
        <w:tabs>
          <w:tab w:val="left" w:pos="720"/>
        </w:tabs>
        <w:spacing w:after="0" w:line="240" w:lineRule="auto"/>
        <w:ind w:left="1080"/>
        <w:jc w:val="both"/>
        <w:rPr>
          <w:rFonts w:ascii="Bookman Old Style" w:hAnsi="Bookman Old Style"/>
          <w:sz w:val="20"/>
          <w:szCs w:val="20"/>
          <w:lang w:val="id-ID"/>
        </w:rPr>
      </w:pPr>
    </w:p>
    <w:p w14:paraId="1BE42C4C" w14:textId="35872215" w:rsidR="0028531E" w:rsidRPr="00F1452D" w:rsidRDefault="0028531E" w:rsidP="0028531E">
      <w:pPr>
        <w:pStyle w:val="ListParagraph"/>
        <w:numPr>
          <w:ilvl w:val="0"/>
          <w:numId w:val="20"/>
        </w:numPr>
        <w:tabs>
          <w:tab w:val="left" w:pos="720"/>
        </w:tabs>
        <w:spacing w:after="0" w:line="240" w:lineRule="auto"/>
        <w:jc w:val="both"/>
        <w:rPr>
          <w:rFonts w:ascii="Bookman Old Style" w:hAnsi="Bookman Old Style"/>
          <w:sz w:val="20"/>
          <w:szCs w:val="20"/>
          <w:lang w:val="id-ID"/>
        </w:rPr>
      </w:pPr>
      <w:r w:rsidRPr="0028531E">
        <w:rPr>
          <w:rFonts w:ascii="Bookman Old Style" w:hAnsi="Bookman Old Style"/>
          <w:sz w:val="20"/>
          <w:szCs w:val="20"/>
        </w:rPr>
        <w:t xml:space="preserve">Complete clinical data include age, gender, and </w:t>
      </w:r>
      <w:proofErr w:type="spellStart"/>
      <w:r w:rsidRPr="0028531E">
        <w:rPr>
          <w:rFonts w:ascii="Bookman Old Style" w:hAnsi="Bookman Old Style"/>
          <w:sz w:val="20"/>
          <w:szCs w:val="20"/>
        </w:rPr>
        <w:t>tumor</w:t>
      </w:r>
      <w:proofErr w:type="spellEnd"/>
      <w:r w:rsidRPr="0028531E">
        <w:rPr>
          <w:rFonts w:ascii="Bookman Old Style" w:hAnsi="Bookman Old Style"/>
          <w:sz w:val="20"/>
          <w:szCs w:val="20"/>
        </w:rPr>
        <w:t xml:space="preserve"> location listed on SIMARS or medical records.</w:t>
      </w:r>
    </w:p>
    <w:p w14:paraId="1C3340F8" w14:textId="77777777" w:rsidR="00F1452D" w:rsidRPr="00F1452D" w:rsidRDefault="00F1452D" w:rsidP="00F1452D">
      <w:pPr>
        <w:tabs>
          <w:tab w:val="left" w:pos="720"/>
        </w:tabs>
        <w:jc w:val="both"/>
        <w:rPr>
          <w:rFonts w:ascii="Bookman Old Style" w:hAnsi="Bookman Old Style"/>
          <w:lang w:val="id-ID"/>
        </w:rPr>
      </w:pPr>
    </w:p>
    <w:p w14:paraId="1B840E71" w14:textId="475F37A3" w:rsidR="0028531E" w:rsidRPr="00F1452D" w:rsidRDefault="0028531E" w:rsidP="0028531E">
      <w:pPr>
        <w:pStyle w:val="ListParagraph"/>
        <w:numPr>
          <w:ilvl w:val="0"/>
          <w:numId w:val="20"/>
        </w:numPr>
        <w:tabs>
          <w:tab w:val="left" w:pos="720"/>
        </w:tabs>
        <w:spacing w:after="0" w:line="240" w:lineRule="auto"/>
        <w:jc w:val="both"/>
        <w:rPr>
          <w:rFonts w:ascii="Bookman Old Style" w:hAnsi="Bookman Old Style"/>
          <w:sz w:val="20"/>
          <w:szCs w:val="20"/>
          <w:lang w:val="id-ID"/>
        </w:rPr>
      </w:pPr>
      <w:r w:rsidRPr="0028531E">
        <w:rPr>
          <w:rFonts w:ascii="Bookman Old Style" w:hAnsi="Bookman Old Style"/>
          <w:sz w:val="20"/>
          <w:szCs w:val="20"/>
        </w:rPr>
        <w:t>The paraffin block is in good condition and still contains sufficient tissue for re-cutting</w:t>
      </w:r>
    </w:p>
    <w:p w14:paraId="2AE63671" w14:textId="77777777" w:rsidR="00F1452D" w:rsidRPr="00F1452D" w:rsidRDefault="00F1452D" w:rsidP="00F1452D">
      <w:pPr>
        <w:tabs>
          <w:tab w:val="left" w:pos="720"/>
        </w:tabs>
        <w:jc w:val="both"/>
        <w:rPr>
          <w:rFonts w:ascii="Bookman Old Style" w:hAnsi="Bookman Old Style"/>
          <w:lang w:val="id-ID"/>
        </w:rPr>
      </w:pPr>
    </w:p>
    <w:p w14:paraId="342ACCAF" w14:textId="77777777" w:rsidR="0028531E" w:rsidRPr="0028531E" w:rsidRDefault="0028531E" w:rsidP="0028531E">
      <w:pPr>
        <w:tabs>
          <w:tab w:val="left" w:pos="720"/>
        </w:tabs>
        <w:jc w:val="both"/>
        <w:rPr>
          <w:rFonts w:ascii="Bookman Old Style" w:hAnsi="Bookman Old Style"/>
        </w:rPr>
      </w:pPr>
      <w:r w:rsidRPr="0028531E">
        <w:rPr>
          <w:rFonts w:ascii="Bookman Old Style" w:hAnsi="Bookman Old Style"/>
        </w:rPr>
        <w:t>Data analysis was carried out with the help of SPSS 23 with bivariate, multivariate and correlation tests. Significant value &lt;0.05.</w:t>
      </w:r>
    </w:p>
    <w:p w14:paraId="68FB21ED" w14:textId="77777777" w:rsidR="0028531E" w:rsidRPr="0028531E" w:rsidRDefault="0028531E" w:rsidP="0028531E">
      <w:pPr>
        <w:tabs>
          <w:tab w:val="left" w:pos="720"/>
        </w:tabs>
        <w:jc w:val="both"/>
        <w:rPr>
          <w:rFonts w:ascii="Bookman Old Style" w:hAnsi="Bookman Old Style"/>
        </w:rPr>
      </w:pPr>
    </w:p>
    <w:p w14:paraId="05515E76" w14:textId="61BEA6A8" w:rsidR="0028531E" w:rsidRDefault="0028531E" w:rsidP="0028531E">
      <w:pPr>
        <w:pStyle w:val="BodyText"/>
        <w:spacing w:after="0"/>
        <w:jc w:val="both"/>
        <w:rPr>
          <w:rFonts w:ascii="Bookman Old Style" w:hAnsi="Bookman Old Style"/>
          <w:b/>
          <w:lang w:val="en-US"/>
        </w:rPr>
      </w:pPr>
      <w:r w:rsidRPr="0028531E">
        <w:rPr>
          <w:rFonts w:ascii="Bookman Old Style" w:hAnsi="Bookman Old Style"/>
          <w:b/>
          <w:lang w:val="en-US"/>
        </w:rPr>
        <w:t>Results and Discussion</w:t>
      </w:r>
    </w:p>
    <w:p w14:paraId="6A0C5FA8" w14:textId="77777777" w:rsidR="00F1452D" w:rsidRPr="0028531E" w:rsidRDefault="00F1452D" w:rsidP="0028531E">
      <w:pPr>
        <w:pStyle w:val="BodyText"/>
        <w:spacing w:after="0"/>
        <w:jc w:val="both"/>
        <w:rPr>
          <w:rFonts w:ascii="Bookman Old Style" w:hAnsi="Bookman Old Style"/>
          <w:b/>
          <w:lang w:val="en-US"/>
        </w:rPr>
      </w:pPr>
    </w:p>
    <w:p w14:paraId="1DA194C9" w14:textId="77777777" w:rsidR="0028531E" w:rsidRPr="0028531E" w:rsidRDefault="0028531E" w:rsidP="0028531E">
      <w:pPr>
        <w:jc w:val="both"/>
        <w:rPr>
          <w:rFonts w:ascii="Bookman Old Style" w:hAnsi="Bookman Old Style"/>
        </w:rPr>
      </w:pPr>
      <w:r w:rsidRPr="0028531E">
        <w:rPr>
          <w:rFonts w:ascii="Bookman Old Style" w:hAnsi="Bookman Old Style"/>
        </w:rPr>
        <w:t>This study involved 53 samples consisting of 27 polyp patients and 26 colorectal cancer patients. The characteristics of the data are presented in Table 1</w:t>
      </w:r>
    </w:p>
    <w:p w14:paraId="40DDA6FA" w14:textId="77777777" w:rsidR="0028531E" w:rsidRPr="0028531E" w:rsidRDefault="0028531E" w:rsidP="0028531E">
      <w:pPr>
        <w:jc w:val="both"/>
        <w:rPr>
          <w:rFonts w:ascii="Bookman Old Style" w:hAnsi="Bookman Old Style"/>
        </w:rPr>
      </w:pPr>
    </w:p>
    <w:p w14:paraId="125BADCC" w14:textId="705F1BA3" w:rsidR="0028531E" w:rsidRDefault="0028531E" w:rsidP="00F1452D">
      <w:pPr>
        <w:pStyle w:val="ListParagraph"/>
        <w:spacing w:after="0" w:line="240" w:lineRule="auto"/>
        <w:ind w:left="0"/>
        <w:jc w:val="center"/>
        <w:rPr>
          <w:rFonts w:ascii="Bookman Old Style" w:hAnsi="Bookman Old Style"/>
          <w:sz w:val="20"/>
          <w:szCs w:val="20"/>
        </w:rPr>
      </w:pPr>
      <w:r w:rsidRPr="0028531E">
        <w:rPr>
          <w:rFonts w:ascii="Bookman Old Style" w:hAnsi="Bookman Old Style"/>
          <w:b/>
          <w:sz w:val="20"/>
          <w:szCs w:val="20"/>
        </w:rPr>
        <w:t xml:space="preserve">Table 1. </w:t>
      </w:r>
      <w:r w:rsidRPr="0028531E">
        <w:rPr>
          <w:rFonts w:ascii="Bookman Old Style" w:hAnsi="Bookman Old Style"/>
          <w:sz w:val="20"/>
          <w:szCs w:val="20"/>
        </w:rPr>
        <w:t>Characteristics Subject</w:t>
      </w:r>
    </w:p>
    <w:p w14:paraId="0BB43C32" w14:textId="77777777" w:rsidR="00F1452D" w:rsidRPr="0028531E" w:rsidRDefault="00F1452D" w:rsidP="00F1452D">
      <w:pPr>
        <w:pStyle w:val="ListParagraph"/>
        <w:spacing w:after="0" w:line="240" w:lineRule="auto"/>
        <w:ind w:left="0"/>
        <w:jc w:val="center"/>
        <w:rPr>
          <w:rFonts w:ascii="Bookman Old Style" w:hAnsi="Bookman Old Style"/>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373"/>
        <w:gridCol w:w="2307"/>
      </w:tblGrid>
      <w:tr w:rsidR="0028531E" w:rsidRPr="0028531E" w14:paraId="116DA5DD" w14:textId="77777777" w:rsidTr="00B31A36">
        <w:trPr>
          <w:jc w:val="center"/>
        </w:trPr>
        <w:tc>
          <w:tcPr>
            <w:tcW w:w="2965" w:type="dxa"/>
            <w:vMerge w:val="restart"/>
            <w:tcBorders>
              <w:top w:val="single" w:sz="4" w:space="0" w:color="auto"/>
              <w:bottom w:val="single" w:sz="4" w:space="0" w:color="auto"/>
            </w:tcBorders>
            <w:vAlign w:val="center"/>
          </w:tcPr>
          <w:p w14:paraId="622730F1" w14:textId="77777777" w:rsidR="0028531E" w:rsidRPr="0028531E" w:rsidRDefault="0028531E" w:rsidP="0028531E">
            <w:pPr>
              <w:jc w:val="both"/>
              <w:rPr>
                <w:rFonts w:ascii="Bookman Old Style" w:hAnsi="Bookman Old Style"/>
                <w:b/>
              </w:rPr>
            </w:pPr>
            <w:r w:rsidRPr="0028531E">
              <w:rPr>
                <w:rFonts w:ascii="Bookman Old Style" w:hAnsi="Bookman Old Style"/>
                <w:b/>
              </w:rPr>
              <w:t>Variable</w:t>
            </w:r>
          </w:p>
        </w:tc>
        <w:tc>
          <w:tcPr>
            <w:tcW w:w="4680" w:type="dxa"/>
            <w:gridSpan w:val="2"/>
            <w:tcBorders>
              <w:bottom w:val="nil"/>
            </w:tcBorders>
            <w:vAlign w:val="center"/>
          </w:tcPr>
          <w:p w14:paraId="148D727B" w14:textId="77777777" w:rsidR="0028531E" w:rsidRPr="0028531E" w:rsidRDefault="0028531E" w:rsidP="0028531E">
            <w:pPr>
              <w:jc w:val="both"/>
              <w:rPr>
                <w:rFonts w:ascii="Bookman Old Style" w:hAnsi="Bookman Old Style"/>
                <w:b/>
              </w:rPr>
            </w:pPr>
            <w:r w:rsidRPr="0028531E">
              <w:rPr>
                <w:rFonts w:ascii="Bookman Old Style" w:hAnsi="Bookman Old Style"/>
                <w:b/>
              </w:rPr>
              <w:t>Case</w:t>
            </w:r>
          </w:p>
        </w:tc>
      </w:tr>
      <w:tr w:rsidR="0028531E" w:rsidRPr="0028531E" w14:paraId="4148CABC" w14:textId="77777777" w:rsidTr="00B31A36">
        <w:trPr>
          <w:jc w:val="center"/>
        </w:trPr>
        <w:tc>
          <w:tcPr>
            <w:tcW w:w="2965" w:type="dxa"/>
            <w:vMerge/>
            <w:tcBorders>
              <w:top w:val="nil"/>
              <w:bottom w:val="single" w:sz="4" w:space="0" w:color="auto"/>
            </w:tcBorders>
            <w:vAlign w:val="center"/>
          </w:tcPr>
          <w:p w14:paraId="3680C635" w14:textId="77777777" w:rsidR="0028531E" w:rsidRPr="0028531E" w:rsidRDefault="0028531E" w:rsidP="0028531E">
            <w:pPr>
              <w:jc w:val="both"/>
              <w:rPr>
                <w:rFonts w:ascii="Bookman Old Style" w:hAnsi="Bookman Old Style"/>
                <w:b/>
              </w:rPr>
            </w:pPr>
          </w:p>
        </w:tc>
        <w:tc>
          <w:tcPr>
            <w:tcW w:w="2373" w:type="dxa"/>
            <w:tcBorders>
              <w:top w:val="nil"/>
              <w:bottom w:val="single" w:sz="4" w:space="0" w:color="auto"/>
            </w:tcBorders>
            <w:vAlign w:val="center"/>
          </w:tcPr>
          <w:p w14:paraId="0540BE91" w14:textId="77777777" w:rsidR="0028531E" w:rsidRPr="0028531E" w:rsidRDefault="0028531E" w:rsidP="0028531E">
            <w:pPr>
              <w:jc w:val="both"/>
              <w:rPr>
                <w:rFonts w:ascii="Bookman Old Style" w:hAnsi="Bookman Old Style"/>
              </w:rPr>
            </w:pPr>
            <w:r w:rsidRPr="0028531E">
              <w:rPr>
                <w:rFonts w:ascii="Bookman Old Style" w:hAnsi="Bookman Old Style"/>
                <w:b/>
              </w:rPr>
              <w:t>Colorectal Polyps</w:t>
            </w:r>
            <w:r w:rsidRPr="0028531E">
              <w:rPr>
                <w:rFonts w:ascii="Bookman Old Style" w:hAnsi="Bookman Old Style"/>
              </w:rPr>
              <w:t>(n=27)</w:t>
            </w:r>
          </w:p>
        </w:tc>
        <w:tc>
          <w:tcPr>
            <w:tcW w:w="2307" w:type="dxa"/>
            <w:tcBorders>
              <w:top w:val="nil"/>
              <w:bottom w:val="single" w:sz="4" w:space="0" w:color="auto"/>
            </w:tcBorders>
            <w:vAlign w:val="center"/>
          </w:tcPr>
          <w:p w14:paraId="1FDB75F4" w14:textId="77777777" w:rsidR="0028531E" w:rsidRPr="0028531E" w:rsidRDefault="0028531E" w:rsidP="0028531E">
            <w:pPr>
              <w:jc w:val="both"/>
              <w:rPr>
                <w:rFonts w:ascii="Bookman Old Style" w:hAnsi="Bookman Old Style"/>
              </w:rPr>
            </w:pPr>
            <w:r w:rsidRPr="0028531E">
              <w:rPr>
                <w:rFonts w:ascii="Bookman Old Style" w:hAnsi="Bookman Old Style"/>
                <w:b/>
              </w:rPr>
              <w:t>Colorectal Cancer</w:t>
            </w:r>
            <w:r w:rsidRPr="0028531E">
              <w:rPr>
                <w:rFonts w:ascii="Bookman Old Style" w:hAnsi="Bookman Old Style"/>
              </w:rPr>
              <w:t>(n=26)</w:t>
            </w:r>
          </w:p>
        </w:tc>
      </w:tr>
      <w:tr w:rsidR="0028531E" w:rsidRPr="0028531E" w14:paraId="27EB66DE" w14:textId="77777777" w:rsidTr="00B31A36">
        <w:trPr>
          <w:jc w:val="center"/>
        </w:trPr>
        <w:tc>
          <w:tcPr>
            <w:tcW w:w="2965" w:type="dxa"/>
            <w:tcBorders>
              <w:top w:val="single" w:sz="4" w:space="0" w:color="auto"/>
            </w:tcBorders>
          </w:tcPr>
          <w:p w14:paraId="209677E0" w14:textId="77777777" w:rsidR="0028531E" w:rsidRPr="0028531E" w:rsidRDefault="0028531E" w:rsidP="0028531E">
            <w:pPr>
              <w:jc w:val="both"/>
              <w:rPr>
                <w:rFonts w:ascii="Bookman Old Style" w:hAnsi="Bookman Old Style"/>
              </w:rPr>
            </w:pPr>
            <w:r w:rsidRPr="0028531E">
              <w:rPr>
                <w:rFonts w:ascii="Bookman Old Style" w:hAnsi="Bookman Old Style"/>
                <w:b/>
              </w:rPr>
              <w:t xml:space="preserve">Age </w:t>
            </w:r>
            <w:r w:rsidRPr="0028531E">
              <w:rPr>
                <w:rFonts w:ascii="Bookman Old Style" w:hAnsi="Bookman Old Style"/>
              </w:rPr>
              <w:t>(mean</w:t>
            </w:r>
            <m:oMath>
              <m:r>
                <m:rPr>
                  <m:sty m:val="p"/>
                </m:rPr>
                <w:rPr>
                  <w:rFonts w:ascii="Cambria Math" w:hAnsi="Cambria Math"/>
                </w:rPr>
                <m:t>±SD</m:t>
              </m:r>
            </m:oMath>
            <w:r w:rsidRPr="0028531E">
              <w:rPr>
                <w:rFonts w:ascii="Bookman Old Style" w:eastAsiaTheme="minorEastAsia" w:hAnsi="Bookman Old Style"/>
              </w:rPr>
              <w:t>)</w:t>
            </w:r>
          </w:p>
        </w:tc>
        <w:tc>
          <w:tcPr>
            <w:tcW w:w="2373" w:type="dxa"/>
            <w:tcBorders>
              <w:top w:val="single" w:sz="4" w:space="0" w:color="auto"/>
            </w:tcBorders>
          </w:tcPr>
          <w:p w14:paraId="47817D3A" w14:textId="77777777" w:rsidR="0028531E" w:rsidRPr="0028531E" w:rsidRDefault="0028531E" w:rsidP="0028531E">
            <w:pPr>
              <w:jc w:val="both"/>
              <w:rPr>
                <w:rFonts w:ascii="Bookman Old Style" w:hAnsi="Bookman Old Style"/>
              </w:rPr>
            </w:pPr>
            <w:r w:rsidRPr="0028531E">
              <w:rPr>
                <w:rFonts w:ascii="Bookman Old Style" w:hAnsi="Bookman Old Style"/>
              </w:rPr>
              <w:t>53</w:t>
            </w:r>
            <w:r w:rsidRPr="0028531E">
              <w:rPr>
                <w:rFonts w:ascii="Bookman Old Style" w:eastAsiaTheme="minorEastAsia" w:hAnsi="Bookman Old Style"/>
              </w:rPr>
              <w:t>,96</w:t>
            </w:r>
            <m:oMath>
              <m:r>
                <m:rPr>
                  <m:sty m:val="p"/>
                </m:rPr>
                <w:rPr>
                  <w:rFonts w:ascii="Cambria Math" w:hAnsi="Cambria Math"/>
                </w:rPr>
                <m:t>±</m:t>
              </m:r>
            </m:oMath>
            <w:r w:rsidRPr="0028531E">
              <w:rPr>
                <w:rFonts w:ascii="Bookman Old Style" w:eastAsiaTheme="minorEastAsia" w:hAnsi="Bookman Old Style"/>
              </w:rPr>
              <w:t>12.35</w:t>
            </w:r>
          </w:p>
        </w:tc>
        <w:tc>
          <w:tcPr>
            <w:tcW w:w="2307" w:type="dxa"/>
            <w:tcBorders>
              <w:top w:val="single" w:sz="4" w:space="0" w:color="auto"/>
            </w:tcBorders>
          </w:tcPr>
          <w:p w14:paraId="4DAE0465" w14:textId="77777777" w:rsidR="0028531E" w:rsidRPr="0028531E" w:rsidRDefault="0028531E" w:rsidP="0028531E">
            <w:pPr>
              <w:jc w:val="both"/>
              <w:rPr>
                <w:rFonts w:ascii="Bookman Old Style" w:hAnsi="Bookman Old Style"/>
              </w:rPr>
            </w:pPr>
            <w:r w:rsidRPr="0028531E">
              <w:rPr>
                <w:rFonts w:ascii="Bookman Old Style" w:hAnsi="Bookman Old Style"/>
              </w:rPr>
              <w:t>57.15</w:t>
            </w:r>
            <m:oMath>
              <m:r>
                <m:rPr>
                  <m:sty m:val="p"/>
                </m:rPr>
                <w:rPr>
                  <w:rFonts w:ascii="Cambria Math" w:hAnsi="Cambria Math"/>
                </w:rPr>
                <m:t>±</m:t>
              </m:r>
            </m:oMath>
            <w:r w:rsidRPr="0028531E">
              <w:rPr>
                <w:rFonts w:ascii="Bookman Old Style" w:eastAsiaTheme="minorEastAsia" w:hAnsi="Bookman Old Style"/>
              </w:rPr>
              <w:t>10.61</w:t>
            </w:r>
          </w:p>
        </w:tc>
      </w:tr>
      <w:tr w:rsidR="0028531E" w:rsidRPr="0028531E" w14:paraId="2FC55F21" w14:textId="77777777" w:rsidTr="00B31A36">
        <w:trPr>
          <w:jc w:val="center"/>
        </w:trPr>
        <w:tc>
          <w:tcPr>
            <w:tcW w:w="2965" w:type="dxa"/>
          </w:tcPr>
          <w:p w14:paraId="0CD613C4" w14:textId="77777777" w:rsidR="0028531E" w:rsidRPr="0028531E" w:rsidRDefault="0028531E" w:rsidP="0028531E">
            <w:pPr>
              <w:jc w:val="both"/>
              <w:rPr>
                <w:rFonts w:ascii="Bookman Old Style" w:hAnsi="Bookman Old Style"/>
              </w:rPr>
            </w:pPr>
            <w:r w:rsidRPr="0028531E">
              <w:rPr>
                <w:rFonts w:ascii="Bookman Old Style" w:hAnsi="Bookman Old Style"/>
                <w:b/>
              </w:rPr>
              <w:t xml:space="preserve">Gender </w:t>
            </w:r>
            <w:proofErr w:type="gramStart"/>
            <w:r w:rsidRPr="0028531E">
              <w:rPr>
                <w:rFonts w:ascii="Bookman Old Style" w:hAnsi="Bookman Old Style"/>
              </w:rPr>
              <w:t>n(</w:t>
            </w:r>
            <w:proofErr w:type="gramEnd"/>
            <w:r w:rsidRPr="0028531E">
              <w:rPr>
                <w:rFonts w:ascii="Bookman Old Style" w:hAnsi="Bookman Old Style"/>
              </w:rPr>
              <w:t>%)</w:t>
            </w:r>
          </w:p>
        </w:tc>
        <w:tc>
          <w:tcPr>
            <w:tcW w:w="2373" w:type="dxa"/>
          </w:tcPr>
          <w:p w14:paraId="0BC0F3C3" w14:textId="77777777" w:rsidR="0028531E" w:rsidRPr="0028531E" w:rsidRDefault="0028531E" w:rsidP="0028531E">
            <w:pPr>
              <w:jc w:val="both"/>
              <w:rPr>
                <w:rFonts w:ascii="Bookman Old Style" w:hAnsi="Bookman Old Style"/>
              </w:rPr>
            </w:pPr>
          </w:p>
        </w:tc>
        <w:tc>
          <w:tcPr>
            <w:tcW w:w="2307" w:type="dxa"/>
          </w:tcPr>
          <w:p w14:paraId="0454441A" w14:textId="77777777" w:rsidR="0028531E" w:rsidRPr="0028531E" w:rsidRDefault="0028531E" w:rsidP="0028531E">
            <w:pPr>
              <w:jc w:val="both"/>
              <w:rPr>
                <w:rFonts w:ascii="Bookman Old Style" w:hAnsi="Bookman Old Style"/>
              </w:rPr>
            </w:pPr>
          </w:p>
        </w:tc>
      </w:tr>
      <w:tr w:rsidR="0028531E" w:rsidRPr="0028531E" w14:paraId="00877E0A" w14:textId="77777777" w:rsidTr="00B31A36">
        <w:trPr>
          <w:jc w:val="center"/>
        </w:trPr>
        <w:tc>
          <w:tcPr>
            <w:tcW w:w="2965" w:type="dxa"/>
          </w:tcPr>
          <w:p w14:paraId="41DF4BFB" w14:textId="77777777" w:rsidR="0028531E" w:rsidRPr="0028531E" w:rsidRDefault="0028531E" w:rsidP="0028531E">
            <w:pPr>
              <w:ind w:left="247"/>
              <w:jc w:val="both"/>
              <w:rPr>
                <w:rFonts w:ascii="Bookman Old Style" w:hAnsi="Bookman Old Style"/>
              </w:rPr>
            </w:pPr>
            <w:r w:rsidRPr="0028531E">
              <w:rPr>
                <w:rFonts w:ascii="Bookman Old Style" w:hAnsi="Bookman Old Style"/>
              </w:rPr>
              <w:t>Man</w:t>
            </w:r>
          </w:p>
        </w:tc>
        <w:tc>
          <w:tcPr>
            <w:tcW w:w="2373" w:type="dxa"/>
          </w:tcPr>
          <w:p w14:paraId="2E72B19A" w14:textId="77777777" w:rsidR="0028531E" w:rsidRPr="0028531E" w:rsidRDefault="0028531E" w:rsidP="0028531E">
            <w:pPr>
              <w:jc w:val="both"/>
              <w:rPr>
                <w:rFonts w:ascii="Bookman Old Style" w:hAnsi="Bookman Old Style"/>
              </w:rPr>
            </w:pPr>
            <w:r w:rsidRPr="0028531E">
              <w:rPr>
                <w:rFonts w:ascii="Bookman Old Style" w:hAnsi="Bookman Old Style"/>
              </w:rPr>
              <w:t>17 (63.0%)</w:t>
            </w:r>
          </w:p>
        </w:tc>
        <w:tc>
          <w:tcPr>
            <w:tcW w:w="2307" w:type="dxa"/>
          </w:tcPr>
          <w:p w14:paraId="01143D7C" w14:textId="77777777" w:rsidR="0028531E" w:rsidRPr="0028531E" w:rsidRDefault="0028531E" w:rsidP="0028531E">
            <w:pPr>
              <w:jc w:val="both"/>
              <w:rPr>
                <w:rFonts w:ascii="Bookman Old Style" w:hAnsi="Bookman Old Style"/>
              </w:rPr>
            </w:pPr>
            <w:r w:rsidRPr="0028531E">
              <w:rPr>
                <w:rFonts w:ascii="Bookman Old Style" w:hAnsi="Bookman Old Style"/>
              </w:rPr>
              <w:t>15 (57.7%)</w:t>
            </w:r>
          </w:p>
        </w:tc>
      </w:tr>
      <w:tr w:rsidR="0028531E" w:rsidRPr="0028531E" w14:paraId="0008DB94" w14:textId="77777777" w:rsidTr="00B31A36">
        <w:trPr>
          <w:jc w:val="center"/>
        </w:trPr>
        <w:tc>
          <w:tcPr>
            <w:tcW w:w="2965" w:type="dxa"/>
          </w:tcPr>
          <w:p w14:paraId="68FAFDC1" w14:textId="77777777" w:rsidR="0028531E" w:rsidRPr="0028531E" w:rsidRDefault="0028531E" w:rsidP="0028531E">
            <w:pPr>
              <w:ind w:left="247"/>
              <w:jc w:val="both"/>
              <w:rPr>
                <w:rFonts w:ascii="Bookman Old Style" w:hAnsi="Bookman Old Style"/>
              </w:rPr>
            </w:pPr>
            <w:r w:rsidRPr="0028531E">
              <w:rPr>
                <w:rFonts w:ascii="Bookman Old Style" w:hAnsi="Bookman Old Style"/>
              </w:rPr>
              <w:t>Woman</w:t>
            </w:r>
          </w:p>
        </w:tc>
        <w:tc>
          <w:tcPr>
            <w:tcW w:w="2373" w:type="dxa"/>
          </w:tcPr>
          <w:p w14:paraId="7FE5BC52" w14:textId="77777777" w:rsidR="0028531E" w:rsidRPr="0028531E" w:rsidRDefault="0028531E" w:rsidP="0028531E">
            <w:pPr>
              <w:jc w:val="both"/>
              <w:rPr>
                <w:rFonts w:ascii="Bookman Old Style" w:hAnsi="Bookman Old Style"/>
              </w:rPr>
            </w:pPr>
            <w:r w:rsidRPr="0028531E">
              <w:rPr>
                <w:rFonts w:ascii="Bookman Old Style" w:hAnsi="Bookman Old Style"/>
              </w:rPr>
              <w:t>10 (37.0%)</w:t>
            </w:r>
          </w:p>
        </w:tc>
        <w:tc>
          <w:tcPr>
            <w:tcW w:w="2307" w:type="dxa"/>
          </w:tcPr>
          <w:p w14:paraId="2B769A44" w14:textId="77777777" w:rsidR="0028531E" w:rsidRPr="0028531E" w:rsidRDefault="0028531E" w:rsidP="0028531E">
            <w:pPr>
              <w:jc w:val="both"/>
              <w:rPr>
                <w:rFonts w:ascii="Bookman Old Style" w:hAnsi="Bookman Old Style"/>
              </w:rPr>
            </w:pPr>
            <w:r w:rsidRPr="0028531E">
              <w:rPr>
                <w:rFonts w:ascii="Bookman Old Style" w:hAnsi="Bookman Old Style"/>
              </w:rPr>
              <w:t>11 (42.3%)</w:t>
            </w:r>
          </w:p>
        </w:tc>
      </w:tr>
      <w:tr w:rsidR="0028531E" w:rsidRPr="0028531E" w14:paraId="41C24727" w14:textId="77777777" w:rsidTr="00B31A36">
        <w:trPr>
          <w:jc w:val="center"/>
        </w:trPr>
        <w:tc>
          <w:tcPr>
            <w:tcW w:w="2965" w:type="dxa"/>
          </w:tcPr>
          <w:p w14:paraId="6EDC6B12" w14:textId="77777777" w:rsidR="0028531E" w:rsidRPr="0028531E" w:rsidRDefault="0028531E" w:rsidP="0028531E">
            <w:pPr>
              <w:jc w:val="both"/>
              <w:rPr>
                <w:rFonts w:ascii="Bookman Old Style" w:hAnsi="Bookman Old Style"/>
              </w:rPr>
            </w:pPr>
            <w:r w:rsidRPr="0028531E">
              <w:rPr>
                <w:rFonts w:ascii="Bookman Old Style" w:hAnsi="Bookman Old Style"/>
                <w:b/>
              </w:rPr>
              <w:t xml:space="preserve">Location </w:t>
            </w:r>
            <w:proofErr w:type="gramStart"/>
            <w:r w:rsidRPr="0028531E">
              <w:rPr>
                <w:rFonts w:ascii="Bookman Old Style" w:hAnsi="Bookman Old Style"/>
              </w:rPr>
              <w:t>n(</w:t>
            </w:r>
            <w:proofErr w:type="gramEnd"/>
            <w:r w:rsidRPr="0028531E">
              <w:rPr>
                <w:rFonts w:ascii="Bookman Old Style" w:hAnsi="Bookman Old Style"/>
              </w:rPr>
              <w:t>%)</w:t>
            </w:r>
          </w:p>
        </w:tc>
        <w:tc>
          <w:tcPr>
            <w:tcW w:w="2373" w:type="dxa"/>
          </w:tcPr>
          <w:p w14:paraId="1904751F" w14:textId="77777777" w:rsidR="0028531E" w:rsidRPr="0028531E" w:rsidRDefault="0028531E" w:rsidP="0028531E">
            <w:pPr>
              <w:jc w:val="both"/>
              <w:rPr>
                <w:rFonts w:ascii="Bookman Old Style" w:hAnsi="Bookman Old Style"/>
              </w:rPr>
            </w:pPr>
          </w:p>
        </w:tc>
        <w:tc>
          <w:tcPr>
            <w:tcW w:w="2307" w:type="dxa"/>
          </w:tcPr>
          <w:p w14:paraId="5B0DF6CF" w14:textId="77777777" w:rsidR="0028531E" w:rsidRPr="0028531E" w:rsidRDefault="0028531E" w:rsidP="0028531E">
            <w:pPr>
              <w:jc w:val="both"/>
              <w:rPr>
                <w:rFonts w:ascii="Bookman Old Style" w:hAnsi="Bookman Old Style"/>
              </w:rPr>
            </w:pPr>
          </w:p>
        </w:tc>
      </w:tr>
      <w:tr w:rsidR="0028531E" w:rsidRPr="0028531E" w14:paraId="0B88BCAE" w14:textId="77777777" w:rsidTr="00B31A36">
        <w:trPr>
          <w:jc w:val="center"/>
        </w:trPr>
        <w:tc>
          <w:tcPr>
            <w:tcW w:w="2965" w:type="dxa"/>
          </w:tcPr>
          <w:p w14:paraId="553088D8" w14:textId="77777777" w:rsidR="0028531E" w:rsidRPr="0028531E" w:rsidRDefault="0028531E" w:rsidP="0028531E">
            <w:pPr>
              <w:ind w:left="247"/>
              <w:jc w:val="both"/>
              <w:rPr>
                <w:rFonts w:ascii="Bookman Old Style" w:hAnsi="Bookman Old Style"/>
              </w:rPr>
            </w:pPr>
            <w:r w:rsidRPr="0028531E">
              <w:rPr>
                <w:rFonts w:ascii="Bookman Old Style" w:hAnsi="Bookman Old Style"/>
              </w:rPr>
              <w:t>Colon</w:t>
            </w:r>
          </w:p>
        </w:tc>
        <w:tc>
          <w:tcPr>
            <w:tcW w:w="2373" w:type="dxa"/>
          </w:tcPr>
          <w:p w14:paraId="41FEB2F7" w14:textId="77777777" w:rsidR="0028531E" w:rsidRPr="0028531E" w:rsidRDefault="0028531E" w:rsidP="0028531E">
            <w:pPr>
              <w:jc w:val="both"/>
              <w:rPr>
                <w:rFonts w:ascii="Bookman Old Style" w:hAnsi="Bookman Old Style"/>
              </w:rPr>
            </w:pPr>
            <w:r w:rsidRPr="0028531E">
              <w:rPr>
                <w:rFonts w:ascii="Bookman Old Style" w:hAnsi="Bookman Old Style"/>
              </w:rPr>
              <w:t>23 (85.2%)</w:t>
            </w:r>
          </w:p>
        </w:tc>
        <w:tc>
          <w:tcPr>
            <w:tcW w:w="2307" w:type="dxa"/>
          </w:tcPr>
          <w:p w14:paraId="6324882B" w14:textId="77777777" w:rsidR="0028531E" w:rsidRPr="0028531E" w:rsidRDefault="0028531E" w:rsidP="0028531E">
            <w:pPr>
              <w:jc w:val="both"/>
              <w:rPr>
                <w:rFonts w:ascii="Bookman Old Style" w:hAnsi="Bookman Old Style"/>
              </w:rPr>
            </w:pPr>
            <w:r w:rsidRPr="0028531E">
              <w:rPr>
                <w:rFonts w:ascii="Bookman Old Style" w:hAnsi="Bookman Old Style"/>
              </w:rPr>
              <w:t>5 (19.2%)</w:t>
            </w:r>
          </w:p>
        </w:tc>
      </w:tr>
      <w:tr w:rsidR="0028531E" w:rsidRPr="0028531E" w14:paraId="742AC67E" w14:textId="77777777" w:rsidTr="00B31A36">
        <w:trPr>
          <w:jc w:val="center"/>
        </w:trPr>
        <w:tc>
          <w:tcPr>
            <w:tcW w:w="2965" w:type="dxa"/>
          </w:tcPr>
          <w:p w14:paraId="17BB17A2" w14:textId="77777777" w:rsidR="0028531E" w:rsidRPr="0028531E" w:rsidRDefault="0028531E" w:rsidP="0028531E">
            <w:pPr>
              <w:ind w:left="247"/>
              <w:jc w:val="both"/>
              <w:rPr>
                <w:rFonts w:ascii="Bookman Old Style" w:hAnsi="Bookman Old Style"/>
              </w:rPr>
            </w:pPr>
            <w:r w:rsidRPr="0028531E">
              <w:rPr>
                <w:rFonts w:ascii="Bookman Old Style" w:hAnsi="Bookman Old Style"/>
              </w:rPr>
              <w:t>Rectosigmoid</w:t>
            </w:r>
          </w:p>
        </w:tc>
        <w:tc>
          <w:tcPr>
            <w:tcW w:w="2373" w:type="dxa"/>
          </w:tcPr>
          <w:p w14:paraId="7F867312" w14:textId="77777777" w:rsidR="0028531E" w:rsidRPr="0028531E" w:rsidRDefault="0028531E" w:rsidP="0028531E">
            <w:pPr>
              <w:jc w:val="both"/>
              <w:rPr>
                <w:rFonts w:ascii="Bookman Old Style" w:hAnsi="Bookman Old Style"/>
              </w:rPr>
            </w:pPr>
            <w:r w:rsidRPr="0028531E">
              <w:rPr>
                <w:rFonts w:ascii="Bookman Old Style" w:hAnsi="Bookman Old Style"/>
              </w:rPr>
              <w:t>4 (14.8%)</w:t>
            </w:r>
          </w:p>
        </w:tc>
        <w:tc>
          <w:tcPr>
            <w:tcW w:w="2307" w:type="dxa"/>
          </w:tcPr>
          <w:p w14:paraId="63F975D8" w14:textId="77777777" w:rsidR="0028531E" w:rsidRPr="0028531E" w:rsidRDefault="0028531E" w:rsidP="0028531E">
            <w:pPr>
              <w:jc w:val="both"/>
              <w:rPr>
                <w:rFonts w:ascii="Bookman Old Style" w:hAnsi="Bookman Old Style"/>
              </w:rPr>
            </w:pPr>
            <w:r w:rsidRPr="0028531E">
              <w:rPr>
                <w:rFonts w:ascii="Bookman Old Style" w:hAnsi="Bookman Old Style"/>
              </w:rPr>
              <w:t>21 (80.8%)</w:t>
            </w:r>
          </w:p>
        </w:tc>
      </w:tr>
      <w:tr w:rsidR="0028531E" w:rsidRPr="0028531E" w14:paraId="4C4545EB" w14:textId="77777777" w:rsidTr="00B31A36">
        <w:trPr>
          <w:jc w:val="center"/>
        </w:trPr>
        <w:tc>
          <w:tcPr>
            <w:tcW w:w="2965" w:type="dxa"/>
          </w:tcPr>
          <w:p w14:paraId="280DC69D" w14:textId="77777777" w:rsidR="0028531E" w:rsidRPr="0028531E" w:rsidRDefault="0028531E" w:rsidP="0028531E">
            <w:pPr>
              <w:jc w:val="both"/>
              <w:rPr>
                <w:rFonts w:ascii="Bookman Old Style" w:hAnsi="Bookman Old Style"/>
              </w:rPr>
            </w:pPr>
            <w:r w:rsidRPr="0028531E">
              <w:rPr>
                <w:rFonts w:ascii="Bookman Old Style" w:hAnsi="Bookman Old Style"/>
                <w:b/>
              </w:rPr>
              <w:t xml:space="preserve">Histology Grade </w:t>
            </w:r>
            <w:proofErr w:type="gramStart"/>
            <w:r w:rsidRPr="0028531E">
              <w:rPr>
                <w:rFonts w:ascii="Bookman Old Style" w:hAnsi="Bookman Old Style"/>
              </w:rPr>
              <w:t>n(</w:t>
            </w:r>
            <w:proofErr w:type="gramEnd"/>
            <w:r w:rsidRPr="0028531E">
              <w:rPr>
                <w:rFonts w:ascii="Bookman Old Style" w:hAnsi="Bookman Old Style"/>
              </w:rPr>
              <w:t>%)</w:t>
            </w:r>
          </w:p>
        </w:tc>
        <w:tc>
          <w:tcPr>
            <w:tcW w:w="2373" w:type="dxa"/>
          </w:tcPr>
          <w:p w14:paraId="33892BCF" w14:textId="77777777" w:rsidR="0028531E" w:rsidRPr="0028531E" w:rsidRDefault="0028531E" w:rsidP="0028531E">
            <w:pPr>
              <w:jc w:val="both"/>
              <w:rPr>
                <w:rFonts w:ascii="Bookman Old Style" w:hAnsi="Bookman Old Style"/>
              </w:rPr>
            </w:pPr>
          </w:p>
        </w:tc>
        <w:tc>
          <w:tcPr>
            <w:tcW w:w="2307" w:type="dxa"/>
          </w:tcPr>
          <w:p w14:paraId="30627593" w14:textId="77777777" w:rsidR="0028531E" w:rsidRPr="0028531E" w:rsidRDefault="0028531E" w:rsidP="0028531E">
            <w:pPr>
              <w:jc w:val="both"/>
              <w:rPr>
                <w:rFonts w:ascii="Bookman Old Style" w:hAnsi="Bookman Old Style"/>
              </w:rPr>
            </w:pPr>
          </w:p>
        </w:tc>
      </w:tr>
      <w:tr w:rsidR="0028531E" w:rsidRPr="0028531E" w14:paraId="3CC273D6" w14:textId="77777777" w:rsidTr="00B31A36">
        <w:trPr>
          <w:jc w:val="center"/>
        </w:trPr>
        <w:tc>
          <w:tcPr>
            <w:tcW w:w="2965" w:type="dxa"/>
          </w:tcPr>
          <w:p w14:paraId="18982715" w14:textId="77777777" w:rsidR="0028531E" w:rsidRPr="0028531E" w:rsidRDefault="0028531E" w:rsidP="0028531E">
            <w:pPr>
              <w:ind w:left="247"/>
              <w:jc w:val="both"/>
              <w:rPr>
                <w:rFonts w:ascii="Bookman Old Style" w:hAnsi="Bookman Old Style"/>
              </w:rPr>
            </w:pPr>
            <w:r w:rsidRPr="0028531E">
              <w:rPr>
                <w:rFonts w:ascii="Bookman Old Style" w:hAnsi="Bookman Old Style"/>
              </w:rPr>
              <w:t>Grade 1</w:t>
            </w:r>
          </w:p>
        </w:tc>
        <w:tc>
          <w:tcPr>
            <w:tcW w:w="2373" w:type="dxa"/>
          </w:tcPr>
          <w:p w14:paraId="20201AE3" w14:textId="77777777" w:rsidR="0028531E" w:rsidRPr="0028531E" w:rsidRDefault="0028531E" w:rsidP="0028531E">
            <w:pPr>
              <w:jc w:val="both"/>
              <w:rPr>
                <w:rFonts w:ascii="Bookman Old Style" w:hAnsi="Bookman Old Style"/>
              </w:rPr>
            </w:pPr>
            <w:r w:rsidRPr="0028531E">
              <w:rPr>
                <w:rFonts w:ascii="Bookman Old Style" w:hAnsi="Bookman Old Style"/>
              </w:rPr>
              <w:t>13 (48.1%)</w:t>
            </w:r>
          </w:p>
        </w:tc>
        <w:tc>
          <w:tcPr>
            <w:tcW w:w="2307" w:type="dxa"/>
          </w:tcPr>
          <w:p w14:paraId="0AB42A2B" w14:textId="77777777" w:rsidR="0028531E" w:rsidRPr="0028531E" w:rsidRDefault="0028531E" w:rsidP="0028531E">
            <w:pPr>
              <w:jc w:val="both"/>
              <w:rPr>
                <w:rFonts w:ascii="Bookman Old Style" w:hAnsi="Bookman Old Style"/>
              </w:rPr>
            </w:pPr>
            <w:r w:rsidRPr="0028531E">
              <w:rPr>
                <w:rFonts w:ascii="Bookman Old Style" w:hAnsi="Bookman Old Style"/>
              </w:rPr>
              <w:t>7 (26.9%)</w:t>
            </w:r>
          </w:p>
        </w:tc>
      </w:tr>
      <w:tr w:rsidR="0028531E" w:rsidRPr="0028531E" w14:paraId="20F48DD7" w14:textId="77777777" w:rsidTr="00B31A36">
        <w:trPr>
          <w:jc w:val="center"/>
        </w:trPr>
        <w:tc>
          <w:tcPr>
            <w:tcW w:w="2965" w:type="dxa"/>
          </w:tcPr>
          <w:p w14:paraId="0AE2A5C6" w14:textId="77777777" w:rsidR="0028531E" w:rsidRPr="0028531E" w:rsidRDefault="0028531E" w:rsidP="0028531E">
            <w:pPr>
              <w:ind w:left="247"/>
              <w:jc w:val="both"/>
              <w:rPr>
                <w:rFonts w:ascii="Bookman Old Style" w:hAnsi="Bookman Old Style"/>
              </w:rPr>
            </w:pPr>
            <w:r w:rsidRPr="0028531E">
              <w:rPr>
                <w:rFonts w:ascii="Bookman Old Style" w:hAnsi="Bookman Old Style"/>
              </w:rPr>
              <w:t>Grade 2</w:t>
            </w:r>
          </w:p>
        </w:tc>
        <w:tc>
          <w:tcPr>
            <w:tcW w:w="2373" w:type="dxa"/>
          </w:tcPr>
          <w:p w14:paraId="33FE45EB" w14:textId="77777777" w:rsidR="0028531E" w:rsidRPr="0028531E" w:rsidRDefault="0028531E" w:rsidP="0028531E">
            <w:pPr>
              <w:jc w:val="both"/>
              <w:rPr>
                <w:rFonts w:ascii="Bookman Old Style" w:hAnsi="Bookman Old Style"/>
              </w:rPr>
            </w:pPr>
            <w:r w:rsidRPr="0028531E">
              <w:rPr>
                <w:rFonts w:ascii="Bookman Old Style" w:hAnsi="Bookman Old Style"/>
              </w:rPr>
              <w:t>5 (18.6%)</w:t>
            </w:r>
          </w:p>
        </w:tc>
        <w:tc>
          <w:tcPr>
            <w:tcW w:w="2307" w:type="dxa"/>
          </w:tcPr>
          <w:p w14:paraId="3CCD098F" w14:textId="77777777" w:rsidR="0028531E" w:rsidRPr="0028531E" w:rsidRDefault="0028531E" w:rsidP="0028531E">
            <w:pPr>
              <w:jc w:val="both"/>
              <w:rPr>
                <w:rFonts w:ascii="Bookman Old Style" w:hAnsi="Bookman Old Style"/>
              </w:rPr>
            </w:pPr>
            <w:r w:rsidRPr="0028531E">
              <w:rPr>
                <w:rFonts w:ascii="Bookman Old Style" w:hAnsi="Bookman Old Style"/>
              </w:rPr>
              <w:t>19 (73.1%)</w:t>
            </w:r>
          </w:p>
        </w:tc>
      </w:tr>
      <w:tr w:rsidR="0028531E" w:rsidRPr="0028531E" w14:paraId="37AC4CC7" w14:textId="77777777" w:rsidTr="00B31A36">
        <w:trPr>
          <w:jc w:val="center"/>
        </w:trPr>
        <w:tc>
          <w:tcPr>
            <w:tcW w:w="2965" w:type="dxa"/>
          </w:tcPr>
          <w:p w14:paraId="60F2313E" w14:textId="77777777" w:rsidR="0028531E" w:rsidRPr="0028531E" w:rsidRDefault="0028531E" w:rsidP="0028531E">
            <w:pPr>
              <w:ind w:left="247"/>
              <w:jc w:val="both"/>
              <w:rPr>
                <w:rFonts w:ascii="Bookman Old Style" w:hAnsi="Bookman Old Style"/>
              </w:rPr>
            </w:pPr>
            <w:r w:rsidRPr="0028531E">
              <w:rPr>
                <w:rFonts w:ascii="Bookman Old Style" w:hAnsi="Bookman Old Style"/>
              </w:rPr>
              <w:t>Grade 3</w:t>
            </w:r>
          </w:p>
        </w:tc>
        <w:tc>
          <w:tcPr>
            <w:tcW w:w="2373" w:type="dxa"/>
          </w:tcPr>
          <w:p w14:paraId="465803F2" w14:textId="77777777" w:rsidR="0028531E" w:rsidRPr="0028531E" w:rsidRDefault="0028531E" w:rsidP="0028531E">
            <w:pPr>
              <w:jc w:val="both"/>
              <w:rPr>
                <w:rFonts w:ascii="Bookman Old Style" w:hAnsi="Bookman Old Style"/>
              </w:rPr>
            </w:pPr>
            <w:r w:rsidRPr="0028531E">
              <w:rPr>
                <w:rFonts w:ascii="Bookman Old Style" w:hAnsi="Bookman Old Style"/>
              </w:rPr>
              <w:t>9 (33.3%)</w:t>
            </w:r>
          </w:p>
        </w:tc>
        <w:tc>
          <w:tcPr>
            <w:tcW w:w="2307" w:type="dxa"/>
          </w:tcPr>
          <w:p w14:paraId="399C2E63" w14:textId="77777777" w:rsidR="0028531E" w:rsidRPr="0028531E" w:rsidRDefault="0028531E" w:rsidP="0028531E">
            <w:pPr>
              <w:jc w:val="both"/>
              <w:rPr>
                <w:rFonts w:ascii="Bookman Old Style" w:hAnsi="Bookman Old Style"/>
              </w:rPr>
            </w:pPr>
            <w:r w:rsidRPr="0028531E">
              <w:rPr>
                <w:rFonts w:ascii="Bookman Old Style" w:hAnsi="Bookman Old Style"/>
              </w:rPr>
              <w:t>0 (0.0%)</w:t>
            </w:r>
          </w:p>
        </w:tc>
      </w:tr>
      <w:tr w:rsidR="0028531E" w:rsidRPr="0028531E" w14:paraId="3BF050C9" w14:textId="77777777" w:rsidTr="00B31A36">
        <w:trPr>
          <w:jc w:val="center"/>
        </w:trPr>
        <w:tc>
          <w:tcPr>
            <w:tcW w:w="2965" w:type="dxa"/>
          </w:tcPr>
          <w:p w14:paraId="680A4CB3" w14:textId="77777777" w:rsidR="0028531E" w:rsidRPr="0028531E" w:rsidRDefault="0028531E" w:rsidP="0028531E">
            <w:pPr>
              <w:jc w:val="both"/>
              <w:rPr>
                <w:rFonts w:ascii="Bookman Old Style" w:hAnsi="Bookman Old Style"/>
              </w:rPr>
            </w:pPr>
            <w:r w:rsidRPr="0028531E">
              <w:rPr>
                <w:rFonts w:ascii="Bookman Old Style" w:hAnsi="Bookman Old Style"/>
                <w:b/>
              </w:rPr>
              <w:t xml:space="preserve">Histology Type </w:t>
            </w:r>
            <w:proofErr w:type="gramStart"/>
            <w:r w:rsidRPr="0028531E">
              <w:rPr>
                <w:rFonts w:ascii="Bookman Old Style" w:hAnsi="Bookman Old Style"/>
              </w:rPr>
              <w:t>n(</w:t>
            </w:r>
            <w:proofErr w:type="gramEnd"/>
            <w:r w:rsidRPr="0028531E">
              <w:rPr>
                <w:rFonts w:ascii="Bookman Old Style" w:hAnsi="Bookman Old Style"/>
              </w:rPr>
              <w:t>%)</w:t>
            </w:r>
          </w:p>
        </w:tc>
        <w:tc>
          <w:tcPr>
            <w:tcW w:w="2373" w:type="dxa"/>
          </w:tcPr>
          <w:p w14:paraId="6E2D6A22" w14:textId="77777777" w:rsidR="0028531E" w:rsidRPr="0028531E" w:rsidRDefault="0028531E" w:rsidP="0028531E">
            <w:pPr>
              <w:jc w:val="both"/>
              <w:rPr>
                <w:rFonts w:ascii="Bookman Old Style" w:hAnsi="Bookman Old Style"/>
              </w:rPr>
            </w:pPr>
          </w:p>
        </w:tc>
        <w:tc>
          <w:tcPr>
            <w:tcW w:w="2307" w:type="dxa"/>
          </w:tcPr>
          <w:p w14:paraId="5F4D84E6" w14:textId="77777777" w:rsidR="0028531E" w:rsidRPr="0028531E" w:rsidRDefault="0028531E" w:rsidP="0028531E">
            <w:pPr>
              <w:jc w:val="both"/>
              <w:rPr>
                <w:rFonts w:ascii="Bookman Old Style" w:hAnsi="Bookman Old Style"/>
              </w:rPr>
            </w:pPr>
          </w:p>
        </w:tc>
      </w:tr>
      <w:tr w:rsidR="0028531E" w:rsidRPr="0028531E" w14:paraId="02087940" w14:textId="77777777" w:rsidTr="00B31A36">
        <w:trPr>
          <w:jc w:val="center"/>
        </w:trPr>
        <w:tc>
          <w:tcPr>
            <w:tcW w:w="2965" w:type="dxa"/>
          </w:tcPr>
          <w:p w14:paraId="0D57F1B6" w14:textId="77777777" w:rsidR="0028531E" w:rsidRPr="0028531E" w:rsidRDefault="0028531E" w:rsidP="0028531E">
            <w:pPr>
              <w:ind w:left="247"/>
              <w:jc w:val="both"/>
              <w:rPr>
                <w:rFonts w:ascii="Bookman Old Style" w:hAnsi="Bookman Old Style"/>
              </w:rPr>
            </w:pPr>
            <w:bookmarkStart w:id="1" w:name="_Hlk74329426"/>
            <w:r w:rsidRPr="0028531E">
              <w:rPr>
                <w:rFonts w:ascii="Bookman Old Style" w:hAnsi="Bookman Old Style"/>
              </w:rPr>
              <w:t>Adeno</w:t>
            </w:r>
          </w:p>
        </w:tc>
        <w:tc>
          <w:tcPr>
            <w:tcW w:w="2373" w:type="dxa"/>
          </w:tcPr>
          <w:p w14:paraId="01E0798F" w14:textId="77777777" w:rsidR="0028531E" w:rsidRPr="0028531E" w:rsidRDefault="0028531E" w:rsidP="0028531E">
            <w:pPr>
              <w:jc w:val="both"/>
              <w:rPr>
                <w:rFonts w:ascii="Bookman Old Style" w:hAnsi="Bookman Old Style"/>
              </w:rPr>
            </w:pPr>
            <w:r w:rsidRPr="0028531E">
              <w:rPr>
                <w:rFonts w:ascii="Bookman Old Style" w:hAnsi="Bookman Old Style"/>
              </w:rPr>
              <w:t>25 (92.6%)</w:t>
            </w:r>
          </w:p>
        </w:tc>
        <w:tc>
          <w:tcPr>
            <w:tcW w:w="2307" w:type="dxa"/>
          </w:tcPr>
          <w:p w14:paraId="1BA41D65" w14:textId="77777777" w:rsidR="0028531E" w:rsidRPr="0028531E" w:rsidRDefault="0028531E" w:rsidP="0028531E">
            <w:pPr>
              <w:jc w:val="both"/>
              <w:rPr>
                <w:rFonts w:ascii="Bookman Old Style" w:hAnsi="Bookman Old Style"/>
              </w:rPr>
            </w:pPr>
            <w:r w:rsidRPr="0028531E">
              <w:rPr>
                <w:rFonts w:ascii="Bookman Old Style" w:hAnsi="Bookman Old Style"/>
              </w:rPr>
              <w:t>23 (88.5%)</w:t>
            </w:r>
          </w:p>
        </w:tc>
      </w:tr>
      <w:bookmarkEnd w:id="1"/>
      <w:tr w:rsidR="0028531E" w:rsidRPr="0028531E" w14:paraId="24EFB8C3" w14:textId="77777777" w:rsidTr="00B31A36">
        <w:trPr>
          <w:jc w:val="center"/>
        </w:trPr>
        <w:tc>
          <w:tcPr>
            <w:tcW w:w="2965" w:type="dxa"/>
          </w:tcPr>
          <w:p w14:paraId="1A20304B" w14:textId="77777777" w:rsidR="0028531E" w:rsidRPr="0028531E" w:rsidRDefault="0028531E" w:rsidP="0028531E">
            <w:pPr>
              <w:ind w:left="247"/>
              <w:jc w:val="both"/>
              <w:rPr>
                <w:rFonts w:ascii="Bookman Old Style" w:hAnsi="Bookman Old Style"/>
              </w:rPr>
            </w:pPr>
            <w:r w:rsidRPr="0028531E">
              <w:rPr>
                <w:rFonts w:ascii="Bookman Old Style" w:hAnsi="Bookman Old Style"/>
              </w:rPr>
              <w:t>Mucinous</w:t>
            </w:r>
          </w:p>
        </w:tc>
        <w:tc>
          <w:tcPr>
            <w:tcW w:w="2373" w:type="dxa"/>
          </w:tcPr>
          <w:p w14:paraId="5FE96EE2" w14:textId="77777777" w:rsidR="0028531E" w:rsidRPr="0028531E" w:rsidRDefault="0028531E" w:rsidP="0028531E">
            <w:pPr>
              <w:jc w:val="both"/>
              <w:rPr>
                <w:rFonts w:ascii="Bookman Old Style" w:hAnsi="Bookman Old Style"/>
              </w:rPr>
            </w:pPr>
            <w:r w:rsidRPr="0028531E">
              <w:rPr>
                <w:rFonts w:ascii="Bookman Old Style" w:hAnsi="Bookman Old Style"/>
              </w:rPr>
              <w:t>1 (3.7%)</w:t>
            </w:r>
          </w:p>
        </w:tc>
        <w:tc>
          <w:tcPr>
            <w:tcW w:w="2307" w:type="dxa"/>
          </w:tcPr>
          <w:p w14:paraId="194FC971" w14:textId="77777777" w:rsidR="0028531E" w:rsidRPr="0028531E" w:rsidRDefault="0028531E" w:rsidP="0028531E">
            <w:pPr>
              <w:jc w:val="both"/>
              <w:rPr>
                <w:rFonts w:ascii="Bookman Old Style" w:hAnsi="Bookman Old Style"/>
              </w:rPr>
            </w:pPr>
            <w:r w:rsidRPr="0028531E">
              <w:rPr>
                <w:rFonts w:ascii="Bookman Old Style" w:hAnsi="Bookman Old Style"/>
              </w:rPr>
              <w:t>2 (7.7%)</w:t>
            </w:r>
          </w:p>
        </w:tc>
      </w:tr>
      <w:tr w:rsidR="0028531E" w:rsidRPr="0028531E" w14:paraId="0544E3EF" w14:textId="77777777" w:rsidTr="00B31A36">
        <w:trPr>
          <w:jc w:val="center"/>
        </w:trPr>
        <w:tc>
          <w:tcPr>
            <w:tcW w:w="2965" w:type="dxa"/>
          </w:tcPr>
          <w:p w14:paraId="1B8FD9F9" w14:textId="77777777" w:rsidR="0028531E" w:rsidRPr="0028531E" w:rsidRDefault="0028531E" w:rsidP="0028531E">
            <w:pPr>
              <w:ind w:left="247"/>
              <w:jc w:val="both"/>
              <w:rPr>
                <w:rFonts w:ascii="Bookman Old Style" w:hAnsi="Bookman Old Style"/>
              </w:rPr>
            </w:pPr>
            <w:r w:rsidRPr="0028531E">
              <w:rPr>
                <w:rFonts w:ascii="Bookman Old Style" w:hAnsi="Bookman Old Style"/>
              </w:rPr>
              <w:t>Fibroepithelial</w:t>
            </w:r>
          </w:p>
        </w:tc>
        <w:tc>
          <w:tcPr>
            <w:tcW w:w="2373" w:type="dxa"/>
          </w:tcPr>
          <w:p w14:paraId="78A9E3B8" w14:textId="77777777" w:rsidR="0028531E" w:rsidRPr="0028531E" w:rsidRDefault="0028531E" w:rsidP="0028531E">
            <w:pPr>
              <w:jc w:val="both"/>
              <w:rPr>
                <w:rFonts w:ascii="Bookman Old Style" w:hAnsi="Bookman Old Style"/>
              </w:rPr>
            </w:pPr>
            <w:r w:rsidRPr="0028531E">
              <w:rPr>
                <w:rFonts w:ascii="Bookman Old Style" w:hAnsi="Bookman Old Style"/>
              </w:rPr>
              <w:t>1 (3.7%)</w:t>
            </w:r>
          </w:p>
        </w:tc>
        <w:tc>
          <w:tcPr>
            <w:tcW w:w="2307" w:type="dxa"/>
          </w:tcPr>
          <w:p w14:paraId="289207E0" w14:textId="77777777" w:rsidR="0028531E" w:rsidRPr="0028531E" w:rsidRDefault="0028531E" w:rsidP="0028531E">
            <w:pPr>
              <w:jc w:val="both"/>
              <w:rPr>
                <w:rFonts w:ascii="Bookman Old Style" w:hAnsi="Bookman Old Style"/>
              </w:rPr>
            </w:pPr>
            <w:r w:rsidRPr="0028531E">
              <w:rPr>
                <w:rFonts w:ascii="Bookman Old Style" w:hAnsi="Bookman Old Style"/>
              </w:rPr>
              <w:t>0 (0.0%)</w:t>
            </w:r>
          </w:p>
        </w:tc>
      </w:tr>
      <w:tr w:rsidR="0028531E" w:rsidRPr="0028531E" w14:paraId="65C42C90" w14:textId="77777777" w:rsidTr="00B31A36">
        <w:trPr>
          <w:jc w:val="center"/>
        </w:trPr>
        <w:tc>
          <w:tcPr>
            <w:tcW w:w="2965" w:type="dxa"/>
          </w:tcPr>
          <w:p w14:paraId="3EE90D35" w14:textId="77777777" w:rsidR="0028531E" w:rsidRPr="0028531E" w:rsidRDefault="0028531E" w:rsidP="0028531E">
            <w:pPr>
              <w:ind w:left="247"/>
              <w:jc w:val="both"/>
              <w:rPr>
                <w:rFonts w:ascii="Bookman Old Style" w:hAnsi="Bookman Old Style"/>
              </w:rPr>
            </w:pPr>
            <w:r w:rsidRPr="0028531E">
              <w:rPr>
                <w:rFonts w:ascii="Bookman Old Style" w:hAnsi="Bookman Old Style"/>
              </w:rPr>
              <w:t>Squamous</w:t>
            </w:r>
          </w:p>
        </w:tc>
        <w:tc>
          <w:tcPr>
            <w:tcW w:w="2373" w:type="dxa"/>
          </w:tcPr>
          <w:p w14:paraId="0DAC8BBD" w14:textId="77777777" w:rsidR="0028531E" w:rsidRPr="0028531E" w:rsidRDefault="0028531E" w:rsidP="0028531E">
            <w:pPr>
              <w:jc w:val="both"/>
              <w:rPr>
                <w:rFonts w:ascii="Bookman Old Style" w:hAnsi="Bookman Old Style"/>
              </w:rPr>
            </w:pPr>
            <w:r w:rsidRPr="0028531E">
              <w:rPr>
                <w:rFonts w:ascii="Bookman Old Style" w:hAnsi="Bookman Old Style"/>
              </w:rPr>
              <w:t>0 (0.0%)</w:t>
            </w:r>
          </w:p>
        </w:tc>
        <w:tc>
          <w:tcPr>
            <w:tcW w:w="2307" w:type="dxa"/>
          </w:tcPr>
          <w:p w14:paraId="2F799133" w14:textId="77777777" w:rsidR="0028531E" w:rsidRPr="0028531E" w:rsidRDefault="0028531E" w:rsidP="0028531E">
            <w:pPr>
              <w:jc w:val="both"/>
              <w:rPr>
                <w:rFonts w:ascii="Bookman Old Style" w:hAnsi="Bookman Old Style"/>
              </w:rPr>
            </w:pPr>
            <w:r w:rsidRPr="0028531E">
              <w:rPr>
                <w:rFonts w:ascii="Bookman Old Style" w:hAnsi="Bookman Old Style"/>
              </w:rPr>
              <w:t>1 (3.8%)</w:t>
            </w:r>
          </w:p>
        </w:tc>
      </w:tr>
      <w:tr w:rsidR="0028531E" w:rsidRPr="0028531E" w14:paraId="77BBFE57" w14:textId="77777777" w:rsidTr="00B31A36">
        <w:trPr>
          <w:jc w:val="center"/>
        </w:trPr>
        <w:tc>
          <w:tcPr>
            <w:tcW w:w="2965" w:type="dxa"/>
          </w:tcPr>
          <w:p w14:paraId="31EE84C1" w14:textId="77777777" w:rsidR="0028531E" w:rsidRPr="0028531E" w:rsidRDefault="0028531E" w:rsidP="0028531E">
            <w:pPr>
              <w:jc w:val="both"/>
              <w:rPr>
                <w:rFonts w:ascii="Bookman Old Style" w:hAnsi="Bookman Old Style"/>
              </w:rPr>
            </w:pPr>
            <w:proofErr w:type="spellStart"/>
            <w:r w:rsidRPr="0028531E">
              <w:rPr>
                <w:rFonts w:ascii="Bookman Old Style" w:hAnsi="Bookman Old Style"/>
                <w:b/>
              </w:rPr>
              <w:t>History</w:t>
            </w:r>
            <w:r w:rsidRPr="0028531E">
              <w:rPr>
                <w:rFonts w:ascii="Bookman Old Style" w:hAnsi="Bookman Old Style"/>
              </w:rPr>
              <w:t>DM</w:t>
            </w:r>
            <w:proofErr w:type="spellEnd"/>
            <w:r w:rsidRPr="0028531E">
              <w:rPr>
                <w:rFonts w:ascii="Bookman Old Style" w:hAnsi="Bookman Old Style"/>
              </w:rPr>
              <w:t xml:space="preserve"> n (%)</w:t>
            </w:r>
          </w:p>
        </w:tc>
        <w:tc>
          <w:tcPr>
            <w:tcW w:w="2373" w:type="dxa"/>
          </w:tcPr>
          <w:p w14:paraId="26679DEE" w14:textId="77777777" w:rsidR="0028531E" w:rsidRPr="0028531E" w:rsidRDefault="0028531E" w:rsidP="0028531E">
            <w:pPr>
              <w:jc w:val="both"/>
              <w:rPr>
                <w:rFonts w:ascii="Bookman Old Style" w:hAnsi="Bookman Old Style"/>
              </w:rPr>
            </w:pPr>
          </w:p>
        </w:tc>
        <w:tc>
          <w:tcPr>
            <w:tcW w:w="2307" w:type="dxa"/>
          </w:tcPr>
          <w:p w14:paraId="702287AD" w14:textId="77777777" w:rsidR="0028531E" w:rsidRPr="0028531E" w:rsidRDefault="0028531E" w:rsidP="0028531E">
            <w:pPr>
              <w:jc w:val="both"/>
              <w:rPr>
                <w:rFonts w:ascii="Bookman Old Style" w:hAnsi="Bookman Old Style"/>
              </w:rPr>
            </w:pPr>
          </w:p>
        </w:tc>
      </w:tr>
      <w:tr w:rsidR="0028531E" w:rsidRPr="0028531E" w14:paraId="60108867" w14:textId="77777777" w:rsidTr="00B31A36">
        <w:trPr>
          <w:jc w:val="center"/>
        </w:trPr>
        <w:tc>
          <w:tcPr>
            <w:tcW w:w="2965" w:type="dxa"/>
          </w:tcPr>
          <w:p w14:paraId="0219519C" w14:textId="77777777" w:rsidR="0028531E" w:rsidRPr="0028531E" w:rsidRDefault="0028531E" w:rsidP="0028531E">
            <w:pPr>
              <w:ind w:left="247"/>
              <w:jc w:val="both"/>
              <w:rPr>
                <w:rFonts w:ascii="Bookman Old Style" w:hAnsi="Bookman Old Style"/>
              </w:rPr>
            </w:pPr>
            <w:r w:rsidRPr="0028531E">
              <w:rPr>
                <w:rFonts w:ascii="Bookman Old Style" w:hAnsi="Bookman Old Style"/>
              </w:rPr>
              <w:t>There is</w:t>
            </w:r>
          </w:p>
        </w:tc>
        <w:tc>
          <w:tcPr>
            <w:tcW w:w="2373" w:type="dxa"/>
          </w:tcPr>
          <w:p w14:paraId="205C86D8" w14:textId="77777777" w:rsidR="0028531E" w:rsidRPr="0028531E" w:rsidRDefault="0028531E" w:rsidP="0028531E">
            <w:pPr>
              <w:jc w:val="both"/>
              <w:rPr>
                <w:rFonts w:ascii="Bookman Old Style" w:hAnsi="Bookman Old Style"/>
              </w:rPr>
            </w:pPr>
            <w:r w:rsidRPr="0028531E">
              <w:rPr>
                <w:rFonts w:ascii="Bookman Old Style" w:hAnsi="Bookman Old Style"/>
              </w:rPr>
              <w:t>7 (25.9%)</w:t>
            </w:r>
          </w:p>
        </w:tc>
        <w:tc>
          <w:tcPr>
            <w:tcW w:w="2307" w:type="dxa"/>
          </w:tcPr>
          <w:p w14:paraId="18ADD6A7" w14:textId="77777777" w:rsidR="0028531E" w:rsidRPr="0028531E" w:rsidRDefault="0028531E" w:rsidP="0028531E">
            <w:pPr>
              <w:jc w:val="both"/>
              <w:rPr>
                <w:rFonts w:ascii="Bookman Old Style" w:hAnsi="Bookman Old Style"/>
              </w:rPr>
            </w:pPr>
            <w:r w:rsidRPr="0028531E">
              <w:rPr>
                <w:rFonts w:ascii="Bookman Old Style" w:hAnsi="Bookman Old Style"/>
              </w:rPr>
              <w:t>12 (46.2%)</w:t>
            </w:r>
          </w:p>
        </w:tc>
      </w:tr>
      <w:tr w:rsidR="0028531E" w:rsidRPr="0028531E" w14:paraId="5B9996B8" w14:textId="77777777" w:rsidTr="00B31A36">
        <w:trPr>
          <w:jc w:val="center"/>
        </w:trPr>
        <w:tc>
          <w:tcPr>
            <w:tcW w:w="2965" w:type="dxa"/>
          </w:tcPr>
          <w:p w14:paraId="754DB90C" w14:textId="77777777" w:rsidR="0028531E" w:rsidRPr="0028531E" w:rsidRDefault="0028531E" w:rsidP="0028531E">
            <w:pPr>
              <w:ind w:left="247"/>
              <w:jc w:val="both"/>
              <w:rPr>
                <w:rFonts w:ascii="Bookman Old Style" w:hAnsi="Bookman Old Style"/>
              </w:rPr>
            </w:pPr>
            <w:r w:rsidRPr="0028531E">
              <w:rPr>
                <w:rFonts w:ascii="Bookman Old Style" w:hAnsi="Bookman Old Style"/>
              </w:rPr>
              <w:t>There is not any</w:t>
            </w:r>
          </w:p>
        </w:tc>
        <w:tc>
          <w:tcPr>
            <w:tcW w:w="2373" w:type="dxa"/>
          </w:tcPr>
          <w:p w14:paraId="41C0F533" w14:textId="77777777" w:rsidR="0028531E" w:rsidRPr="0028531E" w:rsidRDefault="0028531E" w:rsidP="0028531E">
            <w:pPr>
              <w:jc w:val="both"/>
              <w:rPr>
                <w:rFonts w:ascii="Bookman Old Style" w:hAnsi="Bookman Old Style"/>
              </w:rPr>
            </w:pPr>
            <w:r w:rsidRPr="0028531E">
              <w:rPr>
                <w:rFonts w:ascii="Bookman Old Style" w:hAnsi="Bookman Old Style"/>
              </w:rPr>
              <w:t>20 (74.1%)</w:t>
            </w:r>
          </w:p>
        </w:tc>
        <w:tc>
          <w:tcPr>
            <w:tcW w:w="2307" w:type="dxa"/>
          </w:tcPr>
          <w:p w14:paraId="228B787A" w14:textId="77777777" w:rsidR="0028531E" w:rsidRPr="0028531E" w:rsidRDefault="0028531E" w:rsidP="0028531E">
            <w:pPr>
              <w:jc w:val="both"/>
              <w:rPr>
                <w:rFonts w:ascii="Bookman Old Style" w:hAnsi="Bookman Old Style"/>
              </w:rPr>
            </w:pPr>
            <w:r w:rsidRPr="0028531E">
              <w:rPr>
                <w:rFonts w:ascii="Bookman Old Style" w:hAnsi="Bookman Old Style"/>
              </w:rPr>
              <w:t>14 (53.8%)</w:t>
            </w:r>
          </w:p>
        </w:tc>
      </w:tr>
      <w:tr w:rsidR="0028531E" w:rsidRPr="0028531E" w14:paraId="352DDBA3" w14:textId="77777777" w:rsidTr="00B31A36">
        <w:trPr>
          <w:jc w:val="center"/>
        </w:trPr>
        <w:tc>
          <w:tcPr>
            <w:tcW w:w="2965" w:type="dxa"/>
          </w:tcPr>
          <w:p w14:paraId="2E37E5BD" w14:textId="77777777" w:rsidR="0028531E" w:rsidRPr="0028531E" w:rsidRDefault="0028531E" w:rsidP="0028531E">
            <w:pPr>
              <w:jc w:val="both"/>
              <w:rPr>
                <w:rFonts w:ascii="Bookman Old Style" w:hAnsi="Bookman Old Style"/>
              </w:rPr>
            </w:pPr>
            <w:r w:rsidRPr="0028531E">
              <w:rPr>
                <w:rFonts w:ascii="Bookman Old Style" w:hAnsi="Bookman Old Style"/>
                <w:b/>
              </w:rPr>
              <w:lastRenderedPageBreak/>
              <w:t xml:space="preserve">History of Hypertension </w:t>
            </w:r>
            <w:proofErr w:type="gramStart"/>
            <w:r w:rsidRPr="0028531E">
              <w:rPr>
                <w:rFonts w:ascii="Bookman Old Style" w:hAnsi="Bookman Old Style"/>
              </w:rPr>
              <w:t>n(</w:t>
            </w:r>
            <w:proofErr w:type="gramEnd"/>
            <w:r w:rsidRPr="0028531E">
              <w:rPr>
                <w:rFonts w:ascii="Bookman Old Style" w:hAnsi="Bookman Old Style"/>
              </w:rPr>
              <w:t>%)</w:t>
            </w:r>
          </w:p>
        </w:tc>
        <w:tc>
          <w:tcPr>
            <w:tcW w:w="2373" w:type="dxa"/>
          </w:tcPr>
          <w:p w14:paraId="317555C8" w14:textId="77777777" w:rsidR="0028531E" w:rsidRPr="0028531E" w:rsidRDefault="0028531E" w:rsidP="0028531E">
            <w:pPr>
              <w:jc w:val="both"/>
              <w:rPr>
                <w:rFonts w:ascii="Bookman Old Style" w:hAnsi="Bookman Old Style"/>
              </w:rPr>
            </w:pPr>
          </w:p>
        </w:tc>
        <w:tc>
          <w:tcPr>
            <w:tcW w:w="2307" w:type="dxa"/>
          </w:tcPr>
          <w:p w14:paraId="7D68B67D" w14:textId="77777777" w:rsidR="0028531E" w:rsidRPr="0028531E" w:rsidRDefault="0028531E" w:rsidP="0028531E">
            <w:pPr>
              <w:jc w:val="both"/>
              <w:rPr>
                <w:rFonts w:ascii="Bookman Old Style" w:hAnsi="Bookman Old Style"/>
              </w:rPr>
            </w:pPr>
          </w:p>
        </w:tc>
      </w:tr>
      <w:tr w:rsidR="0028531E" w:rsidRPr="0028531E" w14:paraId="71007A50" w14:textId="77777777" w:rsidTr="00B31A36">
        <w:trPr>
          <w:jc w:val="center"/>
        </w:trPr>
        <w:tc>
          <w:tcPr>
            <w:tcW w:w="2965" w:type="dxa"/>
          </w:tcPr>
          <w:p w14:paraId="3B4FCA5E" w14:textId="77777777" w:rsidR="0028531E" w:rsidRPr="0028531E" w:rsidRDefault="0028531E" w:rsidP="0028531E">
            <w:pPr>
              <w:ind w:left="247"/>
              <w:jc w:val="both"/>
              <w:rPr>
                <w:rFonts w:ascii="Bookman Old Style" w:hAnsi="Bookman Old Style"/>
              </w:rPr>
            </w:pPr>
            <w:r w:rsidRPr="0028531E">
              <w:rPr>
                <w:rFonts w:ascii="Bookman Old Style" w:hAnsi="Bookman Old Style"/>
              </w:rPr>
              <w:t>There is</w:t>
            </w:r>
          </w:p>
        </w:tc>
        <w:tc>
          <w:tcPr>
            <w:tcW w:w="2373" w:type="dxa"/>
          </w:tcPr>
          <w:p w14:paraId="7F133CEE" w14:textId="77777777" w:rsidR="0028531E" w:rsidRPr="0028531E" w:rsidRDefault="0028531E" w:rsidP="0028531E">
            <w:pPr>
              <w:jc w:val="both"/>
              <w:rPr>
                <w:rFonts w:ascii="Bookman Old Style" w:hAnsi="Bookman Old Style"/>
              </w:rPr>
            </w:pPr>
            <w:r w:rsidRPr="0028531E">
              <w:rPr>
                <w:rFonts w:ascii="Bookman Old Style" w:hAnsi="Bookman Old Style"/>
              </w:rPr>
              <w:t>8 (29.6%)</w:t>
            </w:r>
          </w:p>
        </w:tc>
        <w:tc>
          <w:tcPr>
            <w:tcW w:w="2307" w:type="dxa"/>
          </w:tcPr>
          <w:p w14:paraId="20156CED" w14:textId="77777777" w:rsidR="0028531E" w:rsidRPr="0028531E" w:rsidRDefault="0028531E" w:rsidP="0028531E">
            <w:pPr>
              <w:jc w:val="both"/>
              <w:rPr>
                <w:rFonts w:ascii="Bookman Old Style" w:hAnsi="Bookman Old Style"/>
              </w:rPr>
            </w:pPr>
            <w:r w:rsidRPr="0028531E">
              <w:rPr>
                <w:rFonts w:ascii="Bookman Old Style" w:hAnsi="Bookman Old Style"/>
              </w:rPr>
              <w:t>8 (30.8%)</w:t>
            </w:r>
          </w:p>
        </w:tc>
      </w:tr>
      <w:tr w:rsidR="0028531E" w:rsidRPr="0028531E" w14:paraId="689E85EB" w14:textId="77777777" w:rsidTr="00B31A36">
        <w:trPr>
          <w:jc w:val="center"/>
        </w:trPr>
        <w:tc>
          <w:tcPr>
            <w:tcW w:w="2965" w:type="dxa"/>
          </w:tcPr>
          <w:p w14:paraId="3A61546F" w14:textId="77777777" w:rsidR="0028531E" w:rsidRPr="0028531E" w:rsidRDefault="0028531E" w:rsidP="0028531E">
            <w:pPr>
              <w:ind w:left="247"/>
              <w:jc w:val="both"/>
              <w:rPr>
                <w:rFonts w:ascii="Bookman Old Style" w:hAnsi="Bookman Old Style"/>
              </w:rPr>
            </w:pPr>
            <w:r w:rsidRPr="0028531E">
              <w:rPr>
                <w:rFonts w:ascii="Bookman Old Style" w:hAnsi="Bookman Old Style"/>
              </w:rPr>
              <w:t>There is not any</w:t>
            </w:r>
          </w:p>
        </w:tc>
        <w:tc>
          <w:tcPr>
            <w:tcW w:w="2373" w:type="dxa"/>
          </w:tcPr>
          <w:p w14:paraId="42F10C74" w14:textId="77777777" w:rsidR="0028531E" w:rsidRPr="0028531E" w:rsidRDefault="0028531E" w:rsidP="0028531E">
            <w:pPr>
              <w:jc w:val="both"/>
              <w:rPr>
                <w:rFonts w:ascii="Bookman Old Style" w:hAnsi="Bookman Old Style"/>
              </w:rPr>
            </w:pPr>
            <w:r w:rsidRPr="0028531E">
              <w:rPr>
                <w:rFonts w:ascii="Bookman Old Style" w:hAnsi="Bookman Old Style"/>
              </w:rPr>
              <w:t>19 (70.4%)</w:t>
            </w:r>
          </w:p>
        </w:tc>
        <w:tc>
          <w:tcPr>
            <w:tcW w:w="2307" w:type="dxa"/>
          </w:tcPr>
          <w:p w14:paraId="347787B9" w14:textId="77777777" w:rsidR="0028531E" w:rsidRPr="0028531E" w:rsidRDefault="0028531E" w:rsidP="0028531E">
            <w:pPr>
              <w:jc w:val="both"/>
              <w:rPr>
                <w:rFonts w:ascii="Bookman Old Style" w:hAnsi="Bookman Old Style"/>
              </w:rPr>
            </w:pPr>
            <w:r w:rsidRPr="0028531E">
              <w:rPr>
                <w:rFonts w:ascii="Bookman Old Style" w:hAnsi="Bookman Old Style"/>
              </w:rPr>
              <w:t>18 (69.2%)</w:t>
            </w:r>
          </w:p>
        </w:tc>
      </w:tr>
      <w:tr w:rsidR="0028531E" w:rsidRPr="0028531E" w14:paraId="1BCCEE51" w14:textId="77777777" w:rsidTr="00B31A36">
        <w:trPr>
          <w:jc w:val="center"/>
        </w:trPr>
        <w:tc>
          <w:tcPr>
            <w:tcW w:w="2965" w:type="dxa"/>
          </w:tcPr>
          <w:p w14:paraId="24846DAD" w14:textId="77777777" w:rsidR="0028531E" w:rsidRPr="0028531E" w:rsidRDefault="0028531E" w:rsidP="0028531E">
            <w:pPr>
              <w:jc w:val="both"/>
              <w:rPr>
                <w:rFonts w:ascii="Bookman Old Style" w:hAnsi="Bookman Old Style"/>
                <w:b/>
              </w:rPr>
            </w:pPr>
          </w:p>
          <w:p w14:paraId="07704F82" w14:textId="77777777" w:rsidR="0028531E" w:rsidRPr="0028531E" w:rsidRDefault="0028531E" w:rsidP="0028531E">
            <w:pPr>
              <w:jc w:val="both"/>
              <w:rPr>
                <w:rFonts w:ascii="Bookman Old Style" w:hAnsi="Bookman Old Style"/>
              </w:rPr>
            </w:pPr>
            <w:r w:rsidRPr="0028531E">
              <w:rPr>
                <w:rFonts w:ascii="Bookman Old Style" w:hAnsi="Bookman Old Style"/>
                <w:b/>
              </w:rPr>
              <w:t xml:space="preserve">Genetic History </w:t>
            </w:r>
            <w:proofErr w:type="gramStart"/>
            <w:r w:rsidRPr="0028531E">
              <w:rPr>
                <w:rFonts w:ascii="Bookman Old Style" w:hAnsi="Bookman Old Style"/>
              </w:rPr>
              <w:t>n(</w:t>
            </w:r>
            <w:proofErr w:type="gramEnd"/>
            <w:r w:rsidRPr="0028531E">
              <w:rPr>
                <w:rFonts w:ascii="Bookman Old Style" w:hAnsi="Bookman Old Style"/>
              </w:rPr>
              <w:t>%)</w:t>
            </w:r>
          </w:p>
        </w:tc>
        <w:tc>
          <w:tcPr>
            <w:tcW w:w="2373" w:type="dxa"/>
          </w:tcPr>
          <w:p w14:paraId="7AA6D08A" w14:textId="77777777" w:rsidR="0028531E" w:rsidRPr="0028531E" w:rsidRDefault="0028531E" w:rsidP="0028531E">
            <w:pPr>
              <w:jc w:val="both"/>
              <w:rPr>
                <w:rFonts w:ascii="Bookman Old Style" w:hAnsi="Bookman Old Style"/>
              </w:rPr>
            </w:pPr>
          </w:p>
        </w:tc>
        <w:tc>
          <w:tcPr>
            <w:tcW w:w="2307" w:type="dxa"/>
          </w:tcPr>
          <w:p w14:paraId="6C9B45AD" w14:textId="77777777" w:rsidR="0028531E" w:rsidRPr="0028531E" w:rsidRDefault="0028531E" w:rsidP="0028531E">
            <w:pPr>
              <w:jc w:val="both"/>
              <w:rPr>
                <w:rFonts w:ascii="Bookman Old Style" w:hAnsi="Bookman Old Style"/>
              </w:rPr>
            </w:pPr>
          </w:p>
        </w:tc>
      </w:tr>
      <w:tr w:rsidR="0028531E" w:rsidRPr="0028531E" w14:paraId="60629706" w14:textId="77777777" w:rsidTr="00B31A36">
        <w:trPr>
          <w:jc w:val="center"/>
        </w:trPr>
        <w:tc>
          <w:tcPr>
            <w:tcW w:w="2965" w:type="dxa"/>
          </w:tcPr>
          <w:p w14:paraId="1FDF65A1" w14:textId="77777777" w:rsidR="0028531E" w:rsidRPr="0028531E" w:rsidRDefault="0028531E" w:rsidP="0028531E">
            <w:pPr>
              <w:ind w:left="247"/>
              <w:jc w:val="both"/>
              <w:rPr>
                <w:rFonts w:ascii="Bookman Old Style" w:hAnsi="Bookman Old Style"/>
              </w:rPr>
            </w:pPr>
            <w:r w:rsidRPr="0028531E">
              <w:rPr>
                <w:rFonts w:ascii="Bookman Old Style" w:hAnsi="Bookman Old Style"/>
              </w:rPr>
              <w:t>There is</w:t>
            </w:r>
          </w:p>
        </w:tc>
        <w:tc>
          <w:tcPr>
            <w:tcW w:w="2373" w:type="dxa"/>
          </w:tcPr>
          <w:p w14:paraId="584AA0E9" w14:textId="77777777" w:rsidR="0028531E" w:rsidRPr="0028531E" w:rsidRDefault="0028531E" w:rsidP="0028531E">
            <w:pPr>
              <w:jc w:val="both"/>
              <w:rPr>
                <w:rFonts w:ascii="Bookman Old Style" w:hAnsi="Bookman Old Style"/>
              </w:rPr>
            </w:pPr>
            <w:r w:rsidRPr="0028531E">
              <w:rPr>
                <w:rFonts w:ascii="Bookman Old Style" w:hAnsi="Bookman Old Style"/>
              </w:rPr>
              <w:t>0 (0.0%)</w:t>
            </w:r>
          </w:p>
        </w:tc>
        <w:tc>
          <w:tcPr>
            <w:tcW w:w="2307" w:type="dxa"/>
          </w:tcPr>
          <w:p w14:paraId="420BF92A" w14:textId="77777777" w:rsidR="0028531E" w:rsidRPr="0028531E" w:rsidRDefault="0028531E" w:rsidP="0028531E">
            <w:pPr>
              <w:jc w:val="both"/>
              <w:rPr>
                <w:rFonts w:ascii="Bookman Old Style" w:hAnsi="Bookman Old Style"/>
              </w:rPr>
            </w:pPr>
            <w:r w:rsidRPr="0028531E">
              <w:rPr>
                <w:rFonts w:ascii="Bookman Old Style" w:hAnsi="Bookman Old Style"/>
              </w:rPr>
              <w:t>4 (15.4%)</w:t>
            </w:r>
          </w:p>
        </w:tc>
      </w:tr>
      <w:tr w:rsidR="0028531E" w:rsidRPr="0028531E" w14:paraId="14B1ADFB" w14:textId="77777777" w:rsidTr="00B31A36">
        <w:trPr>
          <w:jc w:val="center"/>
        </w:trPr>
        <w:tc>
          <w:tcPr>
            <w:tcW w:w="2965" w:type="dxa"/>
          </w:tcPr>
          <w:p w14:paraId="4148A80E" w14:textId="77777777" w:rsidR="0028531E" w:rsidRPr="0028531E" w:rsidRDefault="0028531E" w:rsidP="0028531E">
            <w:pPr>
              <w:ind w:left="247"/>
              <w:jc w:val="both"/>
              <w:rPr>
                <w:rFonts w:ascii="Bookman Old Style" w:hAnsi="Bookman Old Style"/>
              </w:rPr>
            </w:pPr>
            <w:r w:rsidRPr="0028531E">
              <w:rPr>
                <w:rFonts w:ascii="Bookman Old Style" w:hAnsi="Bookman Old Style"/>
              </w:rPr>
              <w:t>There is not any</w:t>
            </w:r>
          </w:p>
        </w:tc>
        <w:tc>
          <w:tcPr>
            <w:tcW w:w="2373" w:type="dxa"/>
          </w:tcPr>
          <w:p w14:paraId="1B6409FD" w14:textId="77777777" w:rsidR="0028531E" w:rsidRPr="0028531E" w:rsidRDefault="0028531E" w:rsidP="0028531E">
            <w:pPr>
              <w:jc w:val="both"/>
              <w:rPr>
                <w:rFonts w:ascii="Bookman Old Style" w:hAnsi="Bookman Old Style"/>
              </w:rPr>
            </w:pPr>
            <w:r w:rsidRPr="0028531E">
              <w:rPr>
                <w:rFonts w:ascii="Bookman Old Style" w:hAnsi="Bookman Old Style"/>
              </w:rPr>
              <w:t>27 (100.0%)</w:t>
            </w:r>
          </w:p>
        </w:tc>
        <w:tc>
          <w:tcPr>
            <w:tcW w:w="2307" w:type="dxa"/>
          </w:tcPr>
          <w:p w14:paraId="67DFEDC6" w14:textId="77777777" w:rsidR="0028531E" w:rsidRPr="0028531E" w:rsidRDefault="0028531E" w:rsidP="0028531E">
            <w:pPr>
              <w:jc w:val="both"/>
              <w:rPr>
                <w:rFonts w:ascii="Bookman Old Style" w:hAnsi="Bookman Old Style"/>
              </w:rPr>
            </w:pPr>
            <w:r w:rsidRPr="0028531E">
              <w:rPr>
                <w:rFonts w:ascii="Bookman Old Style" w:hAnsi="Bookman Old Style"/>
              </w:rPr>
              <w:t>22 (84.6%)</w:t>
            </w:r>
          </w:p>
        </w:tc>
      </w:tr>
    </w:tbl>
    <w:p w14:paraId="76F4BE36" w14:textId="77777777" w:rsidR="00F1452D" w:rsidRDefault="00F1452D" w:rsidP="0028531E">
      <w:pPr>
        <w:jc w:val="both"/>
        <w:rPr>
          <w:rFonts w:ascii="Bookman Old Style" w:hAnsi="Bookman Old Style"/>
        </w:rPr>
      </w:pPr>
    </w:p>
    <w:p w14:paraId="7F6C42FB" w14:textId="1C7606EF" w:rsidR="0028531E" w:rsidRPr="0028531E" w:rsidRDefault="0028531E" w:rsidP="0028531E">
      <w:pPr>
        <w:jc w:val="both"/>
        <w:rPr>
          <w:rFonts w:ascii="Bookman Old Style" w:hAnsi="Bookman Old Style"/>
        </w:rPr>
      </w:pPr>
      <w:r w:rsidRPr="0028531E">
        <w:rPr>
          <w:rFonts w:ascii="Bookman Old Style" w:hAnsi="Bookman Old Style"/>
        </w:rPr>
        <w:t xml:space="preserve">SD: </w:t>
      </w:r>
      <w:proofErr w:type="spellStart"/>
      <w:r w:rsidRPr="0028531E">
        <w:rPr>
          <w:rFonts w:ascii="Bookman Old Style" w:hAnsi="Bookman Old Style"/>
        </w:rPr>
        <w:t>Standart</w:t>
      </w:r>
      <w:proofErr w:type="spellEnd"/>
      <w:r w:rsidRPr="0028531E">
        <w:rPr>
          <w:rFonts w:ascii="Bookman Old Style" w:hAnsi="Bookman Old Style"/>
        </w:rPr>
        <w:t xml:space="preserve"> deviation</w:t>
      </w:r>
    </w:p>
    <w:p w14:paraId="77529E5A" w14:textId="77777777" w:rsidR="0028531E" w:rsidRPr="0028531E" w:rsidRDefault="0028531E" w:rsidP="0028531E">
      <w:pPr>
        <w:jc w:val="both"/>
        <w:rPr>
          <w:rFonts w:ascii="Bookman Old Style" w:hAnsi="Bookman Old Style"/>
        </w:rPr>
      </w:pPr>
    </w:p>
    <w:p w14:paraId="3791D69C"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r w:rsidRPr="0028531E">
        <w:rPr>
          <w:rFonts w:ascii="Bookman Old Style" w:hAnsi="Bookman Old Style"/>
          <w:sz w:val="20"/>
          <w:szCs w:val="20"/>
        </w:rPr>
        <w:t>Numerical variables in this study, namely age and TIMP-1 levels, were tested for data normality. The results of the data normality test using the Kolmogorov-Smirnov test found that the age variable was normally distributed, and the TIMP-1 level variable was not normally distributed. Therefore, the significance value for the age variable used the Independent T-Test, while the TIMP-1 level variable used the Mann-Whitney test. The results of the bivariate analysis showed a significant difference between TIMP-1 levels in cancer patients and colorectal polyps (p&lt;0.001; 95%CI: 33.65-67.31) (Table2)</w:t>
      </w:r>
    </w:p>
    <w:p w14:paraId="70E2F882" w14:textId="77777777" w:rsidR="0028531E" w:rsidRPr="0028531E" w:rsidRDefault="0028531E" w:rsidP="0028531E">
      <w:pPr>
        <w:jc w:val="both"/>
        <w:rPr>
          <w:rFonts w:ascii="Bookman Old Style" w:hAnsi="Bookman Old Style"/>
          <w:b/>
        </w:rPr>
      </w:pPr>
    </w:p>
    <w:p w14:paraId="4E648B43" w14:textId="0667CB7C" w:rsidR="0028531E" w:rsidRDefault="0028531E" w:rsidP="00F1452D">
      <w:pPr>
        <w:jc w:val="center"/>
        <w:rPr>
          <w:rFonts w:ascii="Bookman Old Style" w:hAnsi="Bookman Old Style"/>
        </w:rPr>
      </w:pPr>
      <w:r w:rsidRPr="0028531E">
        <w:rPr>
          <w:rFonts w:ascii="Bookman Old Style" w:hAnsi="Bookman Old Style"/>
          <w:b/>
        </w:rPr>
        <w:t xml:space="preserve">Table 2 </w:t>
      </w:r>
      <w:r w:rsidRPr="0028531E">
        <w:rPr>
          <w:rFonts w:ascii="Bookman Old Style" w:hAnsi="Bookman Old Style"/>
        </w:rPr>
        <w:t>Bivariate Test</w:t>
      </w:r>
    </w:p>
    <w:p w14:paraId="56F60786" w14:textId="77777777" w:rsidR="00F1452D" w:rsidRPr="0028531E" w:rsidRDefault="00F1452D" w:rsidP="00F1452D">
      <w:pPr>
        <w:jc w:val="center"/>
        <w:rPr>
          <w:rFonts w:ascii="Bookman Old Style" w:hAnsi="Bookman Old Style"/>
        </w:rPr>
      </w:pPr>
    </w:p>
    <w:tbl>
      <w:tblPr>
        <w:tblStyle w:val="PlainTable2"/>
        <w:tblW w:w="8460" w:type="dxa"/>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1966"/>
        <w:gridCol w:w="1486"/>
        <w:gridCol w:w="1486"/>
        <w:gridCol w:w="825"/>
        <w:gridCol w:w="933"/>
        <w:gridCol w:w="881"/>
        <w:gridCol w:w="883"/>
      </w:tblGrid>
      <w:tr w:rsidR="0028531E" w:rsidRPr="0028531E" w14:paraId="32FC7F66" w14:textId="77777777" w:rsidTr="00B31A36">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018" w:type="dxa"/>
            <w:vMerge w:val="restart"/>
            <w:tcBorders>
              <w:top w:val="single" w:sz="4" w:space="0" w:color="auto"/>
              <w:bottom w:val="single" w:sz="4" w:space="0" w:color="auto"/>
            </w:tcBorders>
            <w:vAlign w:val="center"/>
          </w:tcPr>
          <w:p w14:paraId="023F62E2" w14:textId="77777777" w:rsidR="0028531E" w:rsidRPr="0028531E" w:rsidRDefault="0028531E" w:rsidP="0028531E">
            <w:pPr>
              <w:jc w:val="both"/>
              <w:rPr>
                <w:rFonts w:ascii="Bookman Old Style" w:hAnsi="Bookman Old Style" w:cs="Times New Roman"/>
                <w:sz w:val="20"/>
                <w:szCs w:val="20"/>
              </w:rPr>
            </w:pPr>
            <w:r w:rsidRPr="0028531E">
              <w:rPr>
                <w:rFonts w:ascii="Bookman Old Style" w:hAnsi="Bookman Old Style" w:cs="Times New Roman"/>
                <w:bCs w:val="0"/>
                <w:sz w:val="20"/>
                <w:szCs w:val="20"/>
              </w:rPr>
              <w:t>Variable</w:t>
            </w:r>
          </w:p>
        </w:tc>
        <w:tc>
          <w:tcPr>
            <w:tcW w:w="2952" w:type="dxa"/>
            <w:gridSpan w:val="2"/>
            <w:tcBorders>
              <w:top w:val="single" w:sz="4" w:space="0" w:color="auto"/>
            </w:tcBorders>
          </w:tcPr>
          <w:p w14:paraId="54C12DE6" w14:textId="77777777" w:rsidR="0028531E" w:rsidRPr="0028531E" w:rsidRDefault="0028531E" w:rsidP="0028531E">
            <w:pPr>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28531E">
              <w:rPr>
                <w:rFonts w:ascii="Bookman Old Style" w:hAnsi="Bookman Old Style" w:cs="Times New Roman"/>
                <w:sz w:val="20"/>
                <w:szCs w:val="20"/>
              </w:rPr>
              <w:t>Case</w:t>
            </w:r>
          </w:p>
        </w:tc>
        <w:tc>
          <w:tcPr>
            <w:tcW w:w="828" w:type="dxa"/>
            <w:vMerge w:val="restart"/>
            <w:tcBorders>
              <w:top w:val="single" w:sz="4" w:space="0" w:color="auto"/>
            </w:tcBorders>
            <w:vAlign w:val="center"/>
          </w:tcPr>
          <w:p w14:paraId="120ABA6F" w14:textId="77777777" w:rsidR="0028531E" w:rsidRPr="0028531E" w:rsidRDefault="0028531E" w:rsidP="0028531E">
            <w:pPr>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28531E">
              <w:rPr>
                <w:rFonts w:ascii="Bookman Old Style" w:hAnsi="Bookman Old Style" w:cs="Times New Roman"/>
                <w:sz w:val="20"/>
                <w:szCs w:val="20"/>
              </w:rPr>
              <w:t>Mean Diff</w:t>
            </w:r>
          </w:p>
        </w:tc>
        <w:tc>
          <w:tcPr>
            <w:tcW w:w="893" w:type="dxa"/>
            <w:vMerge w:val="restart"/>
            <w:tcBorders>
              <w:top w:val="single" w:sz="4" w:space="0" w:color="auto"/>
            </w:tcBorders>
            <w:vAlign w:val="center"/>
          </w:tcPr>
          <w:p w14:paraId="409EF1B1" w14:textId="77777777" w:rsidR="0028531E" w:rsidRPr="0028531E" w:rsidRDefault="0028531E" w:rsidP="0028531E">
            <w:pPr>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28531E">
              <w:rPr>
                <w:rFonts w:ascii="Bookman Old Style" w:hAnsi="Bookman Old Style" w:cs="Times New Roman"/>
                <w:sz w:val="20"/>
                <w:szCs w:val="20"/>
              </w:rPr>
              <w:t>P-Value</w:t>
            </w:r>
          </w:p>
        </w:tc>
        <w:tc>
          <w:tcPr>
            <w:tcW w:w="1769" w:type="dxa"/>
            <w:gridSpan w:val="2"/>
            <w:vAlign w:val="center"/>
          </w:tcPr>
          <w:p w14:paraId="2CAAE413" w14:textId="77777777" w:rsidR="0028531E" w:rsidRPr="0028531E" w:rsidRDefault="0028531E" w:rsidP="0028531E">
            <w:pPr>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28531E">
              <w:rPr>
                <w:rFonts w:ascii="Bookman Old Style" w:hAnsi="Bookman Old Style" w:cs="Times New Roman"/>
                <w:sz w:val="20"/>
                <w:szCs w:val="20"/>
              </w:rPr>
              <w:t>95% CI</w:t>
            </w:r>
          </w:p>
        </w:tc>
      </w:tr>
      <w:tr w:rsidR="0028531E" w:rsidRPr="0028531E" w14:paraId="1709D9BB" w14:textId="77777777" w:rsidTr="00B31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bottom w:val="single" w:sz="4" w:space="0" w:color="auto"/>
            </w:tcBorders>
          </w:tcPr>
          <w:p w14:paraId="1BB0455F" w14:textId="77777777" w:rsidR="0028531E" w:rsidRPr="0028531E" w:rsidRDefault="0028531E" w:rsidP="0028531E">
            <w:pPr>
              <w:jc w:val="both"/>
              <w:rPr>
                <w:rFonts w:ascii="Bookman Old Style" w:hAnsi="Bookman Old Style" w:cs="Times New Roman"/>
                <w:sz w:val="20"/>
                <w:szCs w:val="20"/>
              </w:rPr>
            </w:pPr>
          </w:p>
        </w:tc>
        <w:tc>
          <w:tcPr>
            <w:tcW w:w="1476" w:type="dxa"/>
            <w:tcBorders>
              <w:bottom w:val="single" w:sz="4" w:space="0" w:color="auto"/>
            </w:tcBorders>
          </w:tcPr>
          <w:p w14:paraId="546214C5" w14:textId="77777777" w:rsidR="0028531E" w:rsidRPr="0028531E" w:rsidRDefault="0028531E" w:rsidP="0028531E">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0"/>
                <w:szCs w:val="20"/>
              </w:rPr>
            </w:pPr>
            <w:r w:rsidRPr="0028531E">
              <w:rPr>
                <w:rFonts w:ascii="Bookman Old Style" w:hAnsi="Bookman Old Style" w:cs="Times New Roman"/>
                <w:b/>
                <w:bCs/>
                <w:sz w:val="20"/>
                <w:szCs w:val="20"/>
              </w:rPr>
              <w:t>Cancer</w:t>
            </w:r>
          </w:p>
        </w:tc>
        <w:tc>
          <w:tcPr>
            <w:tcW w:w="1476" w:type="dxa"/>
            <w:tcBorders>
              <w:bottom w:val="single" w:sz="4" w:space="0" w:color="auto"/>
            </w:tcBorders>
          </w:tcPr>
          <w:p w14:paraId="51C39970" w14:textId="77777777" w:rsidR="0028531E" w:rsidRPr="0028531E" w:rsidRDefault="0028531E" w:rsidP="0028531E">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0"/>
                <w:szCs w:val="20"/>
              </w:rPr>
            </w:pPr>
            <w:r w:rsidRPr="0028531E">
              <w:rPr>
                <w:rFonts w:ascii="Bookman Old Style" w:hAnsi="Bookman Old Style" w:cs="Times New Roman"/>
                <w:b/>
                <w:bCs/>
                <w:sz w:val="20"/>
                <w:szCs w:val="20"/>
              </w:rPr>
              <w:t>Polyps</w:t>
            </w:r>
          </w:p>
        </w:tc>
        <w:tc>
          <w:tcPr>
            <w:tcW w:w="828" w:type="dxa"/>
            <w:vMerge/>
            <w:tcBorders>
              <w:bottom w:val="single" w:sz="4" w:space="0" w:color="auto"/>
            </w:tcBorders>
          </w:tcPr>
          <w:p w14:paraId="57E24FA7" w14:textId="77777777" w:rsidR="0028531E" w:rsidRPr="0028531E" w:rsidRDefault="0028531E" w:rsidP="0028531E">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0"/>
                <w:szCs w:val="20"/>
              </w:rPr>
            </w:pPr>
          </w:p>
        </w:tc>
        <w:tc>
          <w:tcPr>
            <w:tcW w:w="893" w:type="dxa"/>
            <w:vMerge/>
            <w:tcBorders>
              <w:bottom w:val="single" w:sz="4" w:space="0" w:color="auto"/>
            </w:tcBorders>
          </w:tcPr>
          <w:p w14:paraId="20169E13" w14:textId="77777777" w:rsidR="0028531E" w:rsidRPr="0028531E" w:rsidRDefault="0028531E" w:rsidP="0028531E">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0"/>
                <w:szCs w:val="20"/>
              </w:rPr>
            </w:pPr>
          </w:p>
        </w:tc>
        <w:tc>
          <w:tcPr>
            <w:tcW w:w="883" w:type="dxa"/>
            <w:tcBorders>
              <w:bottom w:val="single" w:sz="4" w:space="0" w:color="auto"/>
            </w:tcBorders>
          </w:tcPr>
          <w:p w14:paraId="1EBB01AA" w14:textId="77777777" w:rsidR="0028531E" w:rsidRPr="0028531E" w:rsidRDefault="0028531E" w:rsidP="0028531E">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0"/>
                <w:szCs w:val="20"/>
              </w:rPr>
            </w:pPr>
            <w:r w:rsidRPr="0028531E">
              <w:rPr>
                <w:rFonts w:ascii="Bookman Old Style" w:hAnsi="Bookman Old Style" w:cs="Times New Roman"/>
                <w:b/>
                <w:bCs/>
                <w:sz w:val="20"/>
                <w:szCs w:val="20"/>
              </w:rPr>
              <w:t>Lower</w:t>
            </w:r>
          </w:p>
        </w:tc>
        <w:tc>
          <w:tcPr>
            <w:tcW w:w="886" w:type="dxa"/>
            <w:tcBorders>
              <w:bottom w:val="single" w:sz="4" w:space="0" w:color="auto"/>
            </w:tcBorders>
          </w:tcPr>
          <w:p w14:paraId="073BAA88" w14:textId="77777777" w:rsidR="0028531E" w:rsidRPr="0028531E" w:rsidRDefault="0028531E" w:rsidP="0028531E">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bCs/>
                <w:sz w:val="20"/>
                <w:szCs w:val="20"/>
              </w:rPr>
            </w:pPr>
            <w:r w:rsidRPr="0028531E">
              <w:rPr>
                <w:rFonts w:ascii="Bookman Old Style" w:hAnsi="Bookman Old Style" w:cs="Times New Roman"/>
                <w:b/>
                <w:bCs/>
                <w:sz w:val="20"/>
                <w:szCs w:val="20"/>
              </w:rPr>
              <w:t>Upper</w:t>
            </w:r>
          </w:p>
        </w:tc>
      </w:tr>
      <w:tr w:rsidR="0028531E" w:rsidRPr="0028531E" w14:paraId="314BF7DB" w14:textId="77777777" w:rsidTr="00B31A36">
        <w:tc>
          <w:tcPr>
            <w:cnfStyle w:val="001000000000" w:firstRow="0" w:lastRow="0" w:firstColumn="1" w:lastColumn="0" w:oddVBand="0" w:evenVBand="0" w:oddHBand="0" w:evenHBand="0" w:firstRowFirstColumn="0" w:firstRowLastColumn="0" w:lastRowFirstColumn="0" w:lastRowLastColumn="0"/>
            <w:tcW w:w="2018" w:type="dxa"/>
            <w:tcBorders>
              <w:top w:val="single" w:sz="4" w:space="0" w:color="auto"/>
            </w:tcBorders>
          </w:tcPr>
          <w:p w14:paraId="6FF2A8DB" w14:textId="77777777" w:rsidR="0028531E" w:rsidRPr="0028531E" w:rsidRDefault="0028531E" w:rsidP="0028531E">
            <w:pPr>
              <w:jc w:val="both"/>
              <w:rPr>
                <w:rFonts w:ascii="Bookman Old Style" w:hAnsi="Bookman Old Style" w:cs="Times New Roman"/>
                <w:sz w:val="20"/>
                <w:szCs w:val="20"/>
              </w:rPr>
            </w:pPr>
            <w:r w:rsidRPr="0028531E">
              <w:rPr>
                <w:rFonts w:ascii="Bookman Old Style" w:hAnsi="Bookman Old Style" w:cs="Times New Roman"/>
                <w:sz w:val="20"/>
                <w:szCs w:val="20"/>
              </w:rPr>
              <w:t>Age</w:t>
            </w:r>
          </w:p>
        </w:tc>
        <w:tc>
          <w:tcPr>
            <w:tcW w:w="1476" w:type="dxa"/>
            <w:tcBorders>
              <w:top w:val="single" w:sz="4" w:space="0" w:color="auto"/>
            </w:tcBorders>
          </w:tcPr>
          <w:p w14:paraId="4B44D62A" w14:textId="77777777" w:rsidR="0028531E" w:rsidRPr="0028531E" w:rsidRDefault="0028531E" w:rsidP="0028531E">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28531E">
              <w:rPr>
                <w:rFonts w:ascii="Bookman Old Style" w:hAnsi="Bookman Old Style" w:cs="Times New Roman"/>
                <w:sz w:val="20"/>
                <w:szCs w:val="20"/>
              </w:rPr>
              <w:t>57</w:t>
            </w:r>
            <w:r w:rsidRPr="0028531E">
              <w:rPr>
                <w:rFonts w:ascii="Bookman Old Style" w:eastAsiaTheme="minorEastAsia" w:hAnsi="Bookman Old Style" w:cs="Times New Roman"/>
                <w:sz w:val="20"/>
                <w:szCs w:val="20"/>
              </w:rPr>
              <w:t>,15</w:t>
            </w:r>
            <m:oMath>
              <m:r>
                <m:rPr>
                  <m:sty m:val="p"/>
                </m:rPr>
                <w:rPr>
                  <w:rFonts w:ascii="Cambria Math" w:hAnsi="Cambria Math" w:cs="Times New Roman"/>
                  <w:sz w:val="20"/>
                  <w:szCs w:val="20"/>
                </w:rPr>
                <m:t>±</m:t>
              </m:r>
            </m:oMath>
            <w:r w:rsidRPr="0028531E">
              <w:rPr>
                <w:rFonts w:ascii="Bookman Old Style" w:eastAsiaTheme="minorEastAsia" w:hAnsi="Bookman Old Style" w:cs="Times New Roman"/>
                <w:sz w:val="20"/>
                <w:szCs w:val="20"/>
              </w:rPr>
              <w:t>10.61</w:t>
            </w:r>
          </w:p>
        </w:tc>
        <w:tc>
          <w:tcPr>
            <w:tcW w:w="1476" w:type="dxa"/>
            <w:tcBorders>
              <w:top w:val="single" w:sz="4" w:space="0" w:color="auto"/>
            </w:tcBorders>
          </w:tcPr>
          <w:p w14:paraId="2AD8E5CC" w14:textId="77777777" w:rsidR="0028531E" w:rsidRPr="0028531E" w:rsidRDefault="0028531E" w:rsidP="0028531E">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28531E">
              <w:rPr>
                <w:rFonts w:ascii="Bookman Old Style" w:hAnsi="Bookman Old Style" w:cs="Times New Roman"/>
                <w:sz w:val="20"/>
                <w:szCs w:val="20"/>
              </w:rPr>
              <w:t>53</w:t>
            </w:r>
            <w:r w:rsidRPr="0028531E">
              <w:rPr>
                <w:rFonts w:ascii="Bookman Old Style" w:eastAsiaTheme="minorEastAsia" w:hAnsi="Bookman Old Style" w:cs="Times New Roman"/>
                <w:sz w:val="20"/>
                <w:szCs w:val="20"/>
              </w:rPr>
              <w:t>,96</w:t>
            </w:r>
            <m:oMath>
              <m:r>
                <m:rPr>
                  <m:sty m:val="p"/>
                </m:rPr>
                <w:rPr>
                  <w:rFonts w:ascii="Cambria Math" w:hAnsi="Cambria Math" w:cs="Times New Roman"/>
                  <w:sz w:val="20"/>
                  <w:szCs w:val="20"/>
                </w:rPr>
                <m:t>±</m:t>
              </m:r>
            </m:oMath>
            <w:r w:rsidRPr="0028531E">
              <w:rPr>
                <w:rFonts w:ascii="Bookman Old Style" w:eastAsiaTheme="minorEastAsia" w:hAnsi="Bookman Old Style" w:cs="Times New Roman"/>
                <w:sz w:val="20"/>
                <w:szCs w:val="20"/>
              </w:rPr>
              <w:t>12.35</w:t>
            </w:r>
          </w:p>
        </w:tc>
        <w:tc>
          <w:tcPr>
            <w:tcW w:w="828" w:type="dxa"/>
            <w:tcBorders>
              <w:top w:val="single" w:sz="4" w:space="0" w:color="auto"/>
            </w:tcBorders>
          </w:tcPr>
          <w:p w14:paraId="5DF48319" w14:textId="77777777" w:rsidR="0028531E" w:rsidRPr="0028531E" w:rsidRDefault="0028531E" w:rsidP="0028531E">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28531E">
              <w:rPr>
                <w:rFonts w:ascii="Bookman Old Style" w:hAnsi="Bookman Old Style" w:cs="Times New Roman"/>
                <w:sz w:val="20"/>
                <w:szCs w:val="20"/>
              </w:rPr>
              <w:t>3.19</w:t>
            </w:r>
          </w:p>
        </w:tc>
        <w:tc>
          <w:tcPr>
            <w:tcW w:w="893" w:type="dxa"/>
            <w:tcBorders>
              <w:top w:val="single" w:sz="4" w:space="0" w:color="auto"/>
            </w:tcBorders>
          </w:tcPr>
          <w:p w14:paraId="08563492" w14:textId="77777777" w:rsidR="0028531E" w:rsidRPr="0028531E" w:rsidRDefault="0028531E" w:rsidP="0028531E">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28531E">
              <w:rPr>
                <w:rFonts w:ascii="Bookman Old Style" w:hAnsi="Bookman Old Style" w:cs="Times New Roman"/>
                <w:sz w:val="20"/>
                <w:szCs w:val="20"/>
              </w:rPr>
              <w:t>0.319</w:t>
            </w:r>
          </w:p>
        </w:tc>
        <w:tc>
          <w:tcPr>
            <w:tcW w:w="883" w:type="dxa"/>
            <w:tcBorders>
              <w:top w:val="single" w:sz="4" w:space="0" w:color="auto"/>
            </w:tcBorders>
          </w:tcPr>
          <w:p w14:paraId="6E2B7A63" w14:textId="77777777" w:rsidR="0028531E" w:rsidRPr="0028531E" w:rsidRDefault="0028531E" w:rsidP="0028531E">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28531E">
              <w:rPr>
                <w:rFonts w:ascii="Bookman Old Style" w:hAnsi="Bookman Old Style" w:cs="Times New Roman"/>
                <w:sz w:val="20"/>
                <w:szCs w:val="20"/>
              </w:rPr>
              <w:t>-3.17</w:t>
            </w:r>
          </w:p>
        </w:tc>
        <w:tc>
          <w:tcPr>
            <w:tcW w:w="886" w:type="dxa"/>
            <w:tcBorders>
              <w:top w:val="single" w:sz="4" w:space="0" w:color="auto"/>
            </w:tcBorders>
          </w:tcPr>
          <w:p w14:paraId="15030E65" w14:textId="77777777" w:rsidR="0028531E" w:rsidRPr="0028531E" w:rsidRDefault="0028531E" w:rsidP="0028531E">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28531E">
              <w:rPr>
                <w:rFonts w:ascii="Bookman Old Style" w:hAnsi="Bookman Old Style" w:cs="Times New Roman"/>
                <w:sz w:val="20"/>
                <w:szCs w:val="20"/>
              </w:rPr>
              <w:t>9.55</w:t>
            </w:r>
          </w:p>
        </w:tc>
      </w:tr>
      <w:tr w:rsidR="0028531E" w:rsidRPr="0028531E" w14:paraId="269D9BEE" w14:textId="77777777" w:rsidTr="00B31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tcBorders>
              <w:top w:val="none" w:sz="0" w:space="0" w:color="auto"/>
              <w:bottom w:val="none" w:sz="0" w:space="0" w:color="auto"/>
            </w:tcBorders>
          </w:tcPr>
          <w:p w14:paraId="4A706B1E" w14:textId="77777777" w:rsidR="0028531E" w:rsidRPr="0028531E" w:rsidRDefault="0028531E" w:rsidP="0028531E">
            <w:pPr>
              <w:jc w:val="both"/>
              <w:rPr>
                <w:rFonts w:ascii="Bookman Old Style" w:hAnsi="Bookman Old Style" w:cs="Times New Roman"/>
                <w:sz w:val="20"/>
                <w:szCs w:val="20"/>
              </w:rPr>
            </w:pPr>
            <w:r w:rsidRPr="0028531E">
              <w:rPr>
                <w:rFonts w:ascii="Bookman Old Style" w:hAnsi="Bookman Old Style" w:cs="Times New Roman"/>
                <w:sz w:val="20"/>
                <w:szCs w:val="20"/>
              </w:rPr>
              <w:t>TIMP-</w:t>
            </w:r>
            <w:proofErr w:type="gramStart"/>
            <w:r w:rsidRPr="0028531E">
              <w:rPr>
                <w:rFonts w:ascii="Bookman Old Style" w:hAnsi="Bookman Old Style" w:cs="Times New Roman"/>
                <w:sz w:val="20"/>
                <w:szCs w:val="20"/>
              </w:rPr>
              <w:t>1 .</w:t>
            </w:r>
            <w:proofErr w:type="gramEnd"/>
            <w:r w:rsidRPr="0028531E">
              <w:rPr>
                <w:rFonts w:ascii="Bookman Old Style" w:hAnsi="Bookman Old Style" w:cs="Times New Roman"/>
                <w:sz w:val="20"/>
                <w:szCs w:val="20"/>
              </w:rPr>
              <w:t xml:space="preserve"> levels</w:t>
            </w:r>
          </w:p>
        </w:tc>
        <w:tc>
          <w:tcPr>
            <w:tcW w:w="1476" w:type="dxa"/>
            <w:tcBorders>
              <w:top w:val="none" w:sz="0" w:space="0" w:color="auto"/>
              <w:bottom w:val="none" w:sz="0" w:space="0" w:color="auto"/>
            </w:tcBorders>
          </w:tcPr>
          <w:p w14:paraId="55CA4094" w14:textId="77777777" w:rsidR="0028531E" w:rsidRPr="0028531E" w:rsidRDefault="0028531E" w:rsidP="0028531E">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28531E">
              <w:rPr>
                <w:rFonts w:ascii="Bookman Old Style" w:eastAsiaTheme="minorEastAsia" w:hAnsi="Bookman Old Style" w:cs="Times New Roman"/>
                <w:sz w:val="20"/>
                <w:szCs w:val="20"/>
              </w:rPr>
              <w:t>97,04</w:t>
            </w:r>
            <m:oMath>
              <m:r>
                <m:rPr>
                  <m:sty m:val="p"/>
                </m:rPr>
                <w:rPr>
                  <w:rFonts w:ascii="Cambria Math" w:hAnsi="Cambria Math" w:cs="Times New Roman"/>
                  <w:sz w:val="20"/>
                  <w:szCs w:val="20"/>
                </w:rPr>
                <m:t>±</m:t>
              </m:r>
            </m:oMath>
            <w:r w:rsidRPr="0028531E">
              <w:rPr>
                <w:rFonts w:ascii="Bookman Old Style" w:eastAsiaTheme="minorEastAsia" w:hAnsi="Bookman Old Style" w:cs="Times New Roman"/>
                <w:sz w:val="20"/>
                <w:szCs w:val="20"/>
              </w:rPr>
              <w:t>36,96</w:t>
            </w:r>
          </w:p>
        </w:tc>
        <w:tc>
          <w:tcPr>
            <w:tcW w:w="1476" w:type="dxa"/>
            <w:tcBorders>
              <w:top w:val="none" w:sz="0" w:space="0" w:color="auto"/>
              <w:bottom w:val="none" w:sz="0" w:space="0" w:color="auto"/>
            </w:tcBorders>
          </w:tcPr>
          <w:p w14:paraId="4B1C5012" w14:textId="77777777" w:rsidR="0028531E" w:rsidRPr="0028531E" w:rsidRDefault="0028531E" w:rsidP="0028531E">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28531E">
              <w:rPr>
                <w:rFonts w:ascii="Bookman Old Style" w:eastAsiaTheme="minorEastAsia" w:hAnsi="Bookman Old Style" w:cs="Times New Roman"/>
                <w:sz w:val="20"/>
                <w:szCs w:val="20"/>
              </w:rPr>
              <w:t>46,56</w:t>
            </w:r>
            <m:oMath>
              <m:r>
                <m:rPr>
                  <m:sty m:val="p"/>
                </m:rPr>
                <w:rPr>
                  <w:rFonts w:ascii="Cambria Math" w:hAnsi="Cambria Math" w:cs="Times New Roman"/>
                  <w:sz w:val="20"/>
                  <w:szCs w:val="20"/>
                </w:rPr>
                <m:t>±</m:t>
              </m:r>
            </m:oMath>
            <w:r w:rsidRPr="0028531E">
              <w:rPr>
                <w:rFonts w:ascii="Bookman Old Style" w:eastAsiaTheme="minorEastAsia" w:hAnsi="Bookman Old Style" w:cs="Times New Roman"/>
                <w:sz w:val="20"/>
                <w:szCs w:val="20"/>
              </w:rPr>
              <w:t>22,62</w:t>
            </w:r>
          </w:p>
        </w:tc>
        <w:tc>
          <w:tcPr>
            <w:tcW w:w="828" w:type="dxa"/>
            <w:tcBorders>
              <w:top w:val="none" w:sz="0" w:space="0" w:color="auto"/>
              <w:bottom w:val="none" w:sz="0" w:space="0" w:color="auto"/>
            </w:tcBorders>
          </w:tcPr>
          <w:p w14:paraId="1838A85F" w14:textId="77777777" w:rsidR="0028531E" w:rsidRPr="0028531E" w:rsidRDefault="0028531E" w:rsidP="0028531E">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28531E">
              <w:rPr>
                <w:rFonts w:ascii="Bookman Old Style" w:hAnsi="Bookman Old Style" w:cs="Times New Roman"/>
                <w:sz w:val="20"/>
                <w:szCs w:val="20"/>
              </w:rPr>
              <w:t>50.48</w:t>
            </w:r>
          </w:p>
        </w:tc>
        <w:tc>
          <w:tcPr>
            <w:tcW w:w="893" w:type="dxa"/>
            <w:tcBorders>
              <w:top w:val="none" w:sz="0" w:space="0" w:color="auto"/>
              <w:bottom w:val="none" w:sz="0" w:space="0" w:color="auto"/>
            </w:tcBorders>
          </w:tcPr>
          <w:p w14:paraId="509FF238" w14:textId="77777777" w:rsidR="0028531E" w:rsidRPr="0028531E" w:rsidRDefault="0028531E" w:rsidP="0028531E">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
                <w:sz w:val="20"/>
                <w:szCs w:val="20"/>
              </w:rPr>
            </w:pPr>
            <w:r w:rsidRPr="0028531E">
              <w:rPr>
                <w:rFonts w:ascii="Bookman Old Style" w:hAnsi="Bookman Old Style" w:cs="Times New Roman"/>
                <w:b/>
                <w:sz w:val="20"/>
                <w:szCs w:val="20"/>
              </w:rPr>
              <w:t>&lt;0.001</w:t>
            </w:r>
          </w:p>
        </w:tc>
        <w:tc>
          <w:tcPr>
            <w:tcW w:w="883" w:type="dxa"/>
            <w:tcBorders>
              <w:top w:val="none" w:sz="0" w:space="0" w:color="auto"/>
              <w:bottom w:val="none" w:sz="0" w:space="0" w:color="auto"/>
            </w:tcBorders>
          </w:tcPr>
          <w:p w14:paraId="231C208B" w14:textId="77777777" w:rsidR="0028531E" w:rsidRPr="0028531E" w:rsidRDefault="0028531E" w:rsidP="0028531E">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28531E">
              <w:rPr>
                <w:rFonts w:ascii="Bookman Old Style" w:hAnsi="Bookman Old Style" w:cs="Times New Roman"/>
                <w:sz w:val="20"/>
                <w:szCs w:val="20"/>
              </w:rPr>
              <w:t>33.65</w:t>
            </w:r>
          </w:p>
        </w:tc>
        <w:tc>
          <w:tcPr>
            <w:tcW w:w="886" w:type="dxa"/>
            <w:tcBorders>
              <w:top w:val="none" w:sz="0" w:space="0" w:color="auto"/>
              <w:bottom w:val="none" w:sz="0" w:space="0" w:color="auto"/>
            </w:tcBorders>
          </w:tcPr>
          <w:p w14:paraId="091931F1" w14:textId="77777777" w:rsidR="0028531E" w:rsidRPr="0028531E" w:rsidRDefault="0028531E" w:rsidP="0028531E">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28531E">
              <w:rPr>
                <w:rFonts w:ascii="Bookman Old Style" w:hAnsi="Bookman Old Style" w:cs="Times New Roman"/>
                <w:sz w:val="20"/>
                <w:szCs w:val="20"/>
              </w:rPr>
              <w:t>67.31</w:t>
            </w:r>
          </w:p>
        </w:tc>
      </w:tr>
    </w:tbl>
    <w:p w14:paraId="0773C7D7" w14:textId="77777777" w:rsidR="0028531E" w:rsidRPr="0028531E" w:rsidRDefault="0028531E" w:rsidP="0028531E">
      <w:pPr>
        <w:autoSpaceDE w:val="0"/>
        <w:autoSpaceDN w:val="0"/>
        <w:adjustRightInd w:val="0"/>
        <w:jc w:val="both"/>
        <w:rPr>
          <w:rFonts w:ascii="Bookman Old Style" w:hAnsi="Bookman Old Style"/>
        </w:rPr>
      </w:pPr>
    </w:p>
    <w:p w14:paraId="7FC6366E" w14:textId="77777777" w:rsidR="0028531E" w:rsidRPr="0028531E" w:rsidRDefault="0028531E" w:rsidP="0028531E">
      <w:pPr>
        <w:autoSpaceDE w:val="0"/>
        <w:autoSpaceDN w:val="0"/>
        <w:adjustRightInd w:val="0"/>
        <w:jc w:val="both"/>
        <w:rPr>
          <w:rFonts w:ascii="Bookman Old Style" w:hAnsi="Bookman Old Style"/>
        </w:rPr>
      </w:pPr>
      <w:r w:rsidRPr="0028531E">
        <w:rPr>
          <w:rFonts w:ascii="Bookman Old Style" w:hAnsi="Bookman Old Style"/>
        </w:rPr>
        <w:t>Furthermore, determine the most optimal cut-off value for colorectal cancer cases. From the Receiver Operating Curve (ROC) analysis, the area under the curve (AUC) was 0.892, indicating that TIMP-1 levels can be used as a predictive value for the incidence of colorectal cancer cases. A cut-off value of 66.50, a sensitivity value of 80.8%, and a specificity value of 77.8% (p&lt;0.001) were obtained (Table 3 and Figure 1).</w:t>
      </w:r>
    </w:p>
    <w:p w14:paraId="7223040F" w14:textId="77777777" w:rsidR="0028531E" w:rsidRPr="0028531E" w:rsidRDefault="0028531E" w:rsidP="0028531E">
      <w:pPr>
        <w:autoSpaceDE w:val="0"/>
        <w:autoSpaceDN w:val="0"/>
        <w:adjustRightInd w:val="0"/>
        <w:jc w:val="both"/>
        <w:rPr>
          <w:rFonts w:ascii="Bookman Old Style" w:hAnsi="Bookman Old Style"/>
        </w:rPr>
      </w:pPr>
    </w:p>
    <w:p w14:paraId="445F9515" w14:textId="0DDACDAC" w:rsidR="0028531E" w:rsidRDefault="0028531E" w:rsidP="00F1452D">
      <w:pPr>
        <w:jc w:val="center"/>
        <w:rPr>
          <w:rFonts w:ascii="Bookman Old Style" w:hAnsi="Bookman Old Style"/>
        </w:rPr>
      </w:pPr>
      <w:r w:rsidRPr="0028531E">
        <w:rPr>
          <w:rFonts w:ascii="Bookman Old Style" w:hAnsi="Bookman Old Style"/>
          <w:b/>
        </w:rPr>
        <w:t xml:space="preserve">Table 3 </w:t>
      </w:r>
      <w:r w:rsidRPr="0028531E">
        <w:rPr>
          <w:rFonts w:ascii="Bookman Old Style" w:hAnsi="Bookman Old Style"/>
        </w:rPr>
        <w:t>ROC test</w:t>
      </w:r>
    </w:p>
    <w:p w14:paraId="1E1103F9" w14:textId="77777777" w:rsidR="00F1452D" w:rsidRPr="0028531E" w:rsidRDefault="00F1452D" w:rsidP="00F1452D">
      <w:pPr>
        <w:jc w:val="center"/>
        <w:rPr>
          <w:rFonts w:ascii="Bookman Old Style" w:hAnsi="Bookman Old Style"/>
        </w:rPr>
      </w:pPr>
    </w:p>
    <w:tbl>
      <w:tblPr>
        <w:tblW w:w="8976" w:type="dxa"/>
        <w:tblInd w:w="-426" w:type="dxa"/>
        <w:tblLook w:val="04A0" w:firstRow="1" w:lastRow="0" w:firstColumn="1" w:lastColumn="0" w:noHBand="0" w:noVBand="1"/>
      </w:tblPr>
      <w:tblGrid>
        <w:gridCol w:w="1260"/>
        <w:gridCol w:w="1710"/>
        <w:gridCol w:w="900"/>
        <w:gridCol w:w="1517"/>
        <w:gridCol w:w="990"/>
        <w:gridCol w:w="833"/>
        <w:gridCol w:w="833"/>
        <w:gridCol w:w="933"/>
      </w:tblGrid>
      <w:tr w:rsidR="0028531E" w:rsidRPr="0028531E" w14:paraId="7A00390C" w14:textId="77777777" w:rsidTr="00B31A36">
        <w:trPr>
          <w:trHeight w:val="312"/>
        </w:trPr>
        <w:tc>
          <w:tcPr>
            <w:tcW w:w="1260" w:type="dxa"/>
            <w:tcBorders>
              <w:top w:val="single" w:sz="8" w:space="0" w:color="auto"/>
              <w:left w:val="nil"/>
              <w:bottom w:val="single" w:sz="8" w:space="0" w:color="auto"/>
              <w:right w:val="nil"/>
            </w:tcBorders>
            <w:shd w:val="clear" w:color="auto" w:fill="auto"/>
            <w:noWrap/>
            <w:vAlign w:val="center"/>
            <w:hideMark/>
          </w:tcPr>
          <w:p w14:paraId="21E7142F" w14:textId="77777777" w:rsidR="0028531E" w:rsidRPr="0028531E" w:rsidRDefault="0028531E" w:rsidP="0028531E">
            <w:pPr>
              <w:jc w:val="both"/>
              <w:rPr>
                <w:rFonts w:ascii="Bookman Old Style" w:hAnsi="Bookman Old Style"/>
                <w:b/>
                <w:color w:val="000000"/>
              </w:rPr>
            </w:pPr>
            <w:r w:rsidRPr="0028531E">
              <w:rPr>
                <w:rFonts w:ascii="Bookman Old Style" w:hAnsi="Bookman Old Style"/>
                <w:b/>
                <w:color w:val="000000"/>
              </w:rPr>
              <w:t>Case</w:t>
            </w:r>
          </w:p>
        </w:tc>
        <w:tc>
          <w:tcPr>
            <w:tcW w:w="1710" w:type="dxa"/>
            <w:tcBorders>
              <w:top w:val="single" w:sz="8" w:space="0" w:color="auto"/>
              <w:left w:val="nil"/>
              <w:bottom w:val="single" w:sz="8" w:space="0" w:color="auto"/>
              <w:right w:val="nil"/>
            </w:tcBorders>
            <w:shd w:val="clear" w:color="auto" w:fill="auto"/>
            <w:noWrap/>
            <w:vAlign w:val="center"/>
            <w:hideMark/>
          </w:tcPr>
          <w:p w14:paraId="38FE027A" w14:textId="77777777" w:rsidR="0028531E" w:rsidRPr="0028531E" w:rsidRDefault="0028531E" w:rsidP="0028531E">
            <w:pPr>
              <w:jc w:val="both"/>
              <w:rPr>
                <w:rFonts w:ascii="Bookman Old Style" w:hAnsi="Bookman Old Style"/>
                <w:b/>
                <w:color w:val="000000"/>
              </w:rPr>
            </w:pPr>
            <w:r w:rsidRPr="0028531E">
              <w:rPr>
                <w:rFonts w:ascii="Bookman Old Style" w:hAnsi="Bookman Old Style"/>
                <w:b/>
                <w:color w:val="000000"/>
              </w:rPr>
              <w:t>Parameter</w:t>
            </w:r>
          </w:p>
        </w:tc>
        <w:tc>
          <w:tcPr>
            <w:tcW w:w="900" w:type="dxa"/>
            <w:tcBorders>
              <w:top w:val="single" w:sz="8" w:space="0" w:color="auto"/>
              <w:left w:val="nil"/>
              <w:bottom w:val="single" w:sz="8" w:space="0" w:color="auto"/>
              <w:right w:val="nil"/>
            </w:tcBorders>
            <w:shd w:val="clear" w:color="auto" w:fill="auto"/>
            <w:noWrap/>
            <w:vAlign w:val="center"/>
            <w:hideMark/>
          </w:tcPr>
          <w:p w14:paraId="03B1CD07" w14:textId="77777777" w:rsidR="0028531E" w:rsidRPr="0028531E" w:rsidRDefault="0028531E" w:rsidP="0028531E">
            <w:pPr>
              <w:jc w:val="both"/>
              <w:rPr>
                <w:rFonts w:ascii="Bookman Old Style" w:hAnsi="Bookman Old Style"/>
                <w:b/>
                <w:color w:val="000000"/>
              </w:rPr>
            </w:pPr>
            <w:r w:rsidRPr="0028531E">
              <w:rPr>
                <w:rFonts w:ascii="Bookman Old Style" w:hAnsi="Bookman Old Style"/>
                <w:b/>
                <w:color w:val="000000"/>
              </w:rPr>
              <w:t>AUC</w:t>
            </w:r>
          </w:p>
        </w:tc>
        <w:tc>
          <w:tcPr>
            <w:tcW w:w="1517" w:type="dxa"/>
            <w:tcBorders>
              <w:top w:val="single" w:sz="8" w:space="0" w:color="auto"/>
              <w:left w:val="nil"/>
              <w:bottom w:val="single" w:sz="8" w:space="0" w:color="auto"/>
              <w:right w:val="nil"/>
            </w:tcBorders>
            <w:shd w:val="clear" w:color="auto" w:fill="auto"/>
            <w:noWrap/>
            <w:vAlign w:val="center"/>
            <w:hideMark/>
          </w:tcPr>
          <w:p w14:paraId="57133CB0" w14:textId="77777777" w:rsidR="0028531E" w:rsidRPr="0028531E" w:rsidRDefault="0028531E" w:rsidP="0028531E">
            <w:pPr>
              <w:jc w:val="both"/>
              <w:rPr>
                <w:rFonts w:ascii="Bookman Old Style" w:hAnsi="Bookman Old Style"/>
                <w:b/>
                <w:color w:val="000000"/>
              </w:rPr>
            </w:pPr>
            <w:r w:rsidRPr="0028531E">
              <w:rPr>
                <w:rFonts w:ascii="Bookman Old Style" w:hAnsi="Bookman Old Style"/>
                <w:b/>
                <w:color w:val="000000"/>
              </w:rPr>
              <w:t>95% CI</w:t>
            </w:r>
          </w:p>
        </w:tc>
        <w:tc>
          <w:tcPr>
            <w:tcW w:w="990" w:type="dxa"/>
            <w:tcBorders>
              <w:top w:val="single" w:sz="8" w:space="0" w:color="auto"/>
              <w:left w:val="nil"/>
              <w:bottom w:val="single" w:sz="8" w:space="0" w:color="auto"/>
              <w:right w:val="nil"/>
            </w:tcBorders>
            <w:shd w:val="clear" w:color="auto" w:fill="auto"/>
            <w:noWrap/>
            <w:vAlign w:val="center"/>
            <w:hideMark/>
          </w:tcPr>
          <w:p w14:paraId="180C2027" w14:textId="77777777" w:rsidR="0028531E" w:rsidRPr="0028531E" w:rsidRDefault="0028531E" w:rsidP="0028531E">
            <w:pPr>
              <w:jc w:val="both"/>
              <w:rPr>
                <w:rFonts w:ascii="Bookman Old Style" w:hAnsi="Bookman Old Style"/>
                <w:b/>
                <w:color w:val="000000"/>
              </w:rPr>
            </w:pPr>
            <w:r w:rsidRPr="0028531E">
              <w:rPr>
                <w:rFonts w:ascii="Bookman Old Style" w:hAnsi="Bookman Old Style"/>
                <w:b/>
                <w:color w:val="000000"/>
              </w:rPr>
              <w:t>Cut-off Value</w:t>
            </w:r>
          </w:p>
        </w:tc>
        <w:tc>
          <w:tcPr>
            <w:tcW w:w="833" w:type="dxa"/>
            <w:tcBorders>
              <w:top w:val="single" w:sz="8" w:space="0" w:color="auto"/>
              <w:left w:val="nil"/>
              <w:bottom w:val="single" w:sz="8" w:space="0" w:color="auto"/>
              <w:right w:val="nil"/>
            </w:tcBorders>
            <w:shd w:val="clear" w:color="auto" w:fill="auto"/>
            <w:noWrap/>
            <w:vAlign w:val="center"/>
            <w:hideMark/>
          </w:tcPr>
          <w:p w14:paraId="243A4772" w14:textId="77777777" w:rsidR="0028531E" w:rsidRPr="0028531E" w:rsidRDefault="0028531E" w:rsidP="0028531E">
            <w:pPr>
              <w:jc w:val="both"/>
              <w:rPr>
                <w:rFonts w:ascii="Bookman Old Style" w:hAnsi="Bookman Old Style"/>
                <w:b/>
                <w:color w:val="000000"/>
              </w:rPr>
            </w:pPr>
            <w:r w:rsidRPr="0028531E">
              <w:rPr>
                <w:rFonts w:ascii="Bookman Old Style" w:hAnsi="Bookman Old Style"/>
                <w:b/>
                <w:color w:val="000000"/>
              </w:rPr>
              <w:t>Sn</w:t>
            </w:r>
          </w:p>
        </w:tc>
        <w:tc>
          <w:tcPr>
            <w:tcW w:w="833" w:type="dxa"/>
            <w:tcBorders>
              <w:top w:val="single" w:sz="8" w:space="0" w:color="auto"/>
              <w:left w:val="nil"/>
              <w:bottom w:val="single" w:sz="8" w:space="0" w:color="auto"/>
              <w:right w:val="nil"/>
            </w:tcBorders>
            <w:shd w:val="clear" w:color="auto" w:fill="auto"/>
            <w:noWrap/>
            <w:vAlign w:val="center"/>
            <w:hideMark/>
          </w:tcPr>
          <w:p w14:paraId="6AD39AA2" w14:textId="77777777" w:rsidR="0028531E" w:rsidRPr="0028531E" w:rsidRDefault="0028531E" w:rsidP="0028531E">
            <w:pPr>
              <w:jc w:val="both"/>
              <w:rPr>
                <w:rFonts w:ascii="Bookman Old Style" w:hAnsi="Bookman Old Style"/>
                <w:b/>
                <w:color w:val="000000"/>
              </w:rPr>
            </w:pPr>
            <w:proofErr w:type="spellStart"/>
            <w:r w:rsidRPr="0028531E">
              <w:rPr>
                <w:rFonts w:ascii="Bookman Old Style" w:hAnsi="Bookman Old Style"/>
                <w:b/>
                <w:color w:val="000000"/>
              </w:rPr>
              <w:t>Sp</w:t>
            </w:r>
            <w:proofErr w:type="spellEnd"/>
          </w:p>
        </w:tc>
        <w:tc>
          <w:tcPr>
            <w:tcW w:w="933" w:type="dxa"/>
            <w:tcBorders>
              <w:top w:val="single" w:sz="8" w:space="0" w:color="auto"/>
              <w:left w:val="nil"/>
              <w:bottom w:val="single" w:sz="8" w:space="0" w:color="auto"/>
              <w:right w:val="nil"/>
            </w:tcBorders>
            <w:shd w:val="clear" w:color="auto" w:fill="auto"/>
            <w:noWrap/>
            <w:vAlign w:val="center"/>
            <w:hideMark/>
          </w:tcPr>
          <w:p w14:paraId="52E017DC" w14:textId="77777777" w:rsidR="0028531E" w:rsidRPr="0028531E" w:rsidRDefault="0028531E" w:rsidP="0028531E">
            <w:pPr>
              <w:jc w:val="both"/>
              <w:rPr>
                <w:rFonts w:ascii="Bookman Old Style" w:hAnsi="Bookman Old Style"/>
                <w:b/>
                <w:color w:val="000000"/>
              </w:rPr>
            </w:pPr>
            <w:r w:rsidRPr="0028531E">
              <w:rPr>
                <w:rFonts w:ascii="Bookman Old Style" w:hAnsi="Bookman Old Style"/>
                <w:b/>
                <w:color w:val="000000"/>
              </w:rPr>
              <w:t>p-value</w:t>
            </w:r>
          </w:p>
        </w:tc>
      </w:tr>
      <w:tr w:rsidR="0028531E" w:rsidRPr="0028531E" w14:paraId="518AF20A" w14:textId="77777777" w:rsidTr="00B31A36">
        <w:trPr>
          <w:trHeight w:val="312"/>
        </w:trPr>
        <w:tc>
          <w:tcPr>
            <w:tcW w:w="1260" w:type="dxa"/>
            <w:tcBorders>
              <w:top w:val="nil"/>
              <w:left w:val="nil"/>
              <w:bottom w:val="single" w:sz="8" w:space="0" w:color="auto"/>
              <w:right w:val="nil"/>
            </w:tcBorders>
            <w:shd w:val="clear" w:color="auto" w:fill="auto"/>
            <w:noWrap/>
            <w:vAlign w:val="bottom"/>
            <w:hideMark/>
          </w:tcPr>
          <w:p w14:paraId="7599714D" w14:textId="77777777" w:rsidR="0028531E" w:rsidRPr="0028531E" w:rsidRDefault="0028531E" w:rsidP="0028531E">
            <w:pPr>
              <w:jc w:val="both"/>
              <w:rPr>
                <w:rFonts w:ascii="Bookman Old Style" w:hAnsi="Bookman Old Style"/>
              </w:rPr>
            </w:pPr>
            <w:r w:rsidRPr="0028531E">
              <w:rPr>
                <w:rFonts w:ascii="Bookman Old Style" w:hAnsi="Bookman Old Style"/>
                <w:color w:val="000000"/>
              </w:rPr>
              <w:t>Colorectal Cancer</w:t>
            </w:r>
          </w:p>
        </w:tc>
        <w:tc>
          <w:tcPr>
            <w:tcW w:w="1710" w:type="dxa"/>
            <w:tcBorders>
              <w:top w:val="nil"/>
              <w:left w:val="nil"/>
              <w:bottom w:val="single" w:sz="8" w:space="0" w:color="auto"/>
              <w:right w:val="nil"/>
            </w:tcBorders>
            <w:shd w:val="clear" w:color="auto" w:fill="auto"/>
            <w:noWrap/>
            <w:vAlign w:val="center"/>
            <w:hideMark/>
          </w:tcPr>
          <w:p w14:paraId="1A9C7F33" w14:textId="77777777" w:rsidR="0028531E" w:rsidRPr="0028531E" w:rsidRDefault="0028531E" w:rsidP="0028531E">
            <w:pPr>
              <w:jc w:val="both"/>
              <w:rPr>
                <w:rFonts w:ascii="Bookman Old Style" w:hAnsi="Bookman Old Style"/>
                <w:color w:val="000000"/>
              </w:rPr>
            </w:pPr>
            <w:r w:rsidRPr="0028531E">
              <w:rPr>
                <w:rFonts w:ascii="Bookman Old Style" w:hAnsi="Bookman Old Style"/>
                <w:color w:val="000000"/>
              </w:rPr>
              <w:t>TIMP-1 levels</w:t>
            </w:r>
          </w:p>
        </w:tc>
        <w:tc>
          <w:tcPr>
            <w:tcW w:w="900" w:type="dxa"/>
            <w:tcBorders>
              <w:top w:val="nil"/>
              <w:left w:val="nil"/>
              <w:bottom w:val="single" w:sz="8" w:space="0" w:color="auto"/>
              <w:right w:val="nil"/>
            </w:tcBorders>
            <w:shd w:val="clear" w:color="auto" w:fill="auto"/>
            <w:noWrap/>
            <w:vAlign w:val="center"/>
            <w:hideMark/>
          </w:tcPr>
          <w:p w14:paraId="00C8947C" w14:textId="77777777" w:rsidR="0028531E" w:rsidRPr="0028531E" w:rsidRDefault="0028531E" w:rsidP="0028531E">
            <w:pPr>
              <w:jc w:val="both"/>
              <w:rPr>
                <w:rFonts w:ascii="Bookman Old Style" w:hAnsi="Bookman Old Style"/>
                <w:color w:val="000000"/>
              </w:rPr>
            </w:pPr>
            <w:r w:rsidRPr="0028531E">
              <w:rPr>
                <w:rFonts w:ascii="Bookman Old Style" w:hAnsi="Bookman Old Style"/>
                <w:color w:val="000000"/>
              </w:rPr>
              <w:t>0.892</w:t>
            </w:r>
          </w:p>
        </w:tc>
        <w:tc>
          <w:tcPr>
            <w:tcW w:w="1517" w:type="dxa"/>
            <w:tcBorders>
              <w:top w:val="nil"/>
              <w:left w:val="nil"/>
              <w:bottom w:val="single" w:sz="8" w:space="0" w:color="auto"/>
              <w:right w:val="nil"/>
            </w:tcBorders>
            <w:shd w:val="clear" w:color="auto" w:fill="auto"/>
            <w:noWrap/>
            <w:vAlign w:val="center"/>
            <w:hideMark/>
          </w:tcPr>
          <w:p w14:paraId="29F4FB11" w14:textId="77777777" w:rsidR="0028531E" w:rsidRPr="0028531E" w:rsidRDefault="0028531E" w:rsidP="0028531E">
            <w:pPr>
              <w:jc w:val="both"/>
              <w:rPr>
                <w:rFonts w:ascii="Bookman Old Style" w:hAnsi="Bookman Old Style"/>
                <w:color w:val="000000"/>
              </w:rPr>
            </w:pPr>
            <w:r w:rsidRPr="0028531E">
              <w:rPr>
                <w:rFonts w:ascii="Bookman Old Style" w:hAnsi="Bookman Old Style"/>
                <w:color w:val="000000"/>
              </w:rPr>
              <w:t>0.810 - 0.975</w:t>
            </w:r>
          </w:p>
        </w:tc>
        <w:tc>
          <w:tcPr>
            <w:tcW w:w="990" w:type="dxa"/>
            <w:tcBorders>
              <w:top w:val="nil"/>
              <w:left w:val="nil"/>
              <w:bottom w:val="single" w:sz="8" w:space="0" w:color="auto"/>
              <w:right w:val="nil"/>
            </w:tcBorders>
            <w:shd w:val="clear" w:color="auto" w:fill="auto"/>
            <w:noWrap/>
            <w:vAlign w:val="center"/>
            <w:hideMark/>
          </w:tcPr>
          <w:p w14:paraId="3650807D" w14:textId="77777777" w:rsidR="0028531E" w:rsidRPr="0028531E" w:rsidRDefault="0028531E" w:rsidP="0028531E">
            <w:pPr>
              <w:jc w:val="both"/>
              <w:rPr>
                <w:rFonts w:ascii="Bookman Old Style" w:hAnsi="Bookman Old Style"/>
                <w:color w:val="000000"/>
              </w:rPr>
            </w:pPr>
            <w:r w:rsidRPr="0028531E">
              <w:rPr>
                <w:rFonts w:ascii="Bookman Old Style" w:hAnsi="Bookman Old Style"/>
                <w:color w:val="000000"/>
              </w:rPr>
              <w:t>66.50</w:t>
            </w:r>
          </w:p>
        </w:tc>
        <w:tc>
          <w:tcPr>
            <w:tcW w:w="833" w:type="dxa"/>
            <w:tcBorders>
              <w:top w:val="nil"/>
              <w:left w:val="nil"/>
              <w:bottom w:val="single" w:sz="8" w:space="0" w:color="auto"/>
              <w:right w:val="nil"/>
            </w:tcBorders>
            <w:shd w:val="clear" w:color="auto" w:fill="auto"/>
            <w:noWrap/>
            <w:vAlign w:val="center"/>
            <w:hideMark/>
          </w:tcPr>
          <w:p w14:paraId="495DFB10" w14:textId="77777777" w:rsidR="0028531E" w:rsidRPr="0028531E" w:rsidRDefault="0028531E" w:rsidP="0028531E">
            <w:pPr>
              <w:jc w:val="both"/>
              <w:rPr>
                <w:rFonts w:ascii="Bookman Old Style" w:hAnsi="Bookman Old Style"/>
                <w:color w:val="000000"/>
              </w:rPr>
            </w:pPr>
            <w:r w:rsidRPr="0028531E">
              <w:rPr>
                <w:rFonts w:ascii="Bookman Old Style" w:hAnsi="Bookman Old Style"/>
                <w:color w:val="000000"/>
              </w:rPr>
              <w:t>80.8%</w:t>
            </w:r>
          </w:p>
        </w:tc>
        <w:tc>
          <w:tcPr>
            <w:tcW w:w="833" w:type="dxa"/>
            <w:tcBorders>
              <w:top w:val="nil"/>
              <w:left w:val="nil"/>
              <w:bottom w:val="single" w:sz="8" w:space="0" w:color="auto"/>
              <w:right w:val="nil"/>
            </w:tcBorders>
            <w:shd w:val="clear" w:color="auto" w:fill="auto"/>
            <w:noWrap/>
            <w:vAlign w:val="center"/>
            <w:hideMark/>
          </w:tcPr>
          <w:p w14:paraId="35756716" w14:textId="77777777" w:rsidR="0028531E" w:rsidRPr="0028531E" w:rsidRDefault="0028531E" w:rsidP="0028531E">
            <w:pPr>
              <w:jc w:val="both"/>
              <w:rPr>
                <w:rFonts w:ascii="Bookman Old Style" w:hAnsi="Bookman Old Style"/>
                <w:color w:val="000000"/>
              </w:rPr>
            </w:pPr>
            <w:r w:rsidRPr="0028531E">
              <w:rPr>
                <w:rFonts w:ascii="Bookman Old Style" w:hAnsi="Bookman Old Style"/>
                <w:color w:val="000000"/>
              </w:rPr>
              <w:t>77.8%</w:t>
            </w:r>
          </w:p>
        </w:tc>
        <w:tc>
          <w:tcPr>
            <w:tcW w:w="933" w:type="dxa"/>
            <w:tcBorders>
              <w:top w:val="nil"/>
              <w:left w:val="nil"/>
              <w:bottom w:val="single" w:sz="8" w:space="0" w:color="auto"/>
              <w:right w:val="nil"/>
            </w:tcBorders>
            <w:shd w:val="clear" w:color="auto" w:fill="auto"/>
            <w:noWrap/>
            <w:vAlign w:val="center"/>
            <w:hideMark/>
          </w:tcPr>
          <w:p w14:paraId="74007B66" w14:textId="77777777" w:rsidR="0028531E" w:rsidRPr="0028531E" w:rsidRDefault="0028531E" w:rsidP="0028531E">
            <w:pPr>
              <w:jc w:val="both"/>
              <w:rPr>
                <w:rFonts w:ascii="Bookman Old Style" w:hAnsi="Bookman Old Style"/>
                <w:b/>
                <w:color w:val="000000"/>
              </w:rPr>
            </w:pPr>
            <w:r w:rsidRPr="0028531E">
              <w:rPr>
                <w:rFonts w:ascii="Bookman Old Style" w:hAnsi="Bookman Old Style"/>
                <w:b/>
                <w:color w:val="000000"/>
              </w:rPr>
              <w:t>&lt;0.001</w:t>
            </w:r>
          </w:p>
        </w:tc>
      </w:tr>
    </w:tbl>
    <w:p w14:paraId="5A743862" w14:textId="77777777" w:rsidR="0028531E" w:rsidRPr="0028531E" w:rsidRDefault="0028531E" w:rsidP="0028531E">
      <w:pPr>
        <w:autoSpaceDE w:val="0"/>
        <w:autoSpaceDN w:val="0"/>
        <w:adjustRightInd w:val="0"/>
        <w:jc w:val="both"/>
        <w:rPr>
          <w:rFonts w:ascii="Bookman Old Style" w:hAnsi="Bookman Old Style"/>
        </w:rPr>
      </w:pPr>
    </w:p>
    <w:p w14:paraId="37A3DDC5" w14:textId="77777777" w:rsidR="0028531E" w:rsidRPr="0028531E" w:rsidRDefault="0028531E" w:rsidP="00F1452D">
      <w:pPr>
        <w:autoSpaceDE w:val="0"/>
        <w:autoSpaceDN w:val="0"/>
        <w:adjustRightInd w:val="0"/>
        <w:jc w:val="center"/>
        <w:rPr>
          <w:rFonts w:ascii="Bookman Old Style" w:hAnsi="Bookman Old Style"/>
        </w:rPr>
      </w:pPr>
      <w:r w:rsidRPr="0028531E">
        <w:rPr>
          <w:rFonts w:ascii="Bookman Old Style" w:hAnsi="Bookman Old Style"/>
          <w:noProof/>
        </w:rPr>
        <w:lastRenderedPageBreak/>
        <w:drawing>
          <wp:inline distT="0" distB="0" distL="0" distR="0" wp14:anchorId="03B63A23" wp14:editId="00E1114F">
            <wp:extent cx="3207093" cy="25658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221291" cy="2577196"/>
                    </a:xfrm>
                    <a:prstGeom prst="rect">
                      <a:avLst/>
                    </a:prstGeom>
                    <a:noFill/>
                    <a:ln>
                      <a:noFill/>
                    </a:ln>
                  </pic:spPr>
                </pic:pic>
              </a:graphicData>
            </a:graphic>
          </wp:inline>
        </w:drawing>
      </w:r>
    </w:p>
    <w:p w14:paraId="247FA410" w14:textId="77777777" w:rsidR="0028531E" w:rsidRPr="0028531E" w:rsidRDefault="0028531E" w:rsidP="00741275">
      <w:pPr>
        <w:jc w:val="center"/>
        <w:rPr>
          <w:rFonts w:ascii="Bookman Old Style" w:hAnsi="Bookman Old Style"/>
        </w:rPr>
      </w:pPr>
      <w:r w:rsidRPr="0028531E">
        <w:rPr>
          <w:rFonts w:ascii="Bookman Old Style" w:hAnsi="Bookman Old Style"/>
          <w:b/>
        </w:rPr>
        <w:t xml:space="preserve">Figure 1. </w:t>
      </w:r>
      <w:r w:rsidRPr="0028531E">
        <w:rPr>
          <w:rFonts w:ascii="Bookman Old Style" w:hAnsi="Bookman Old Style"/>
        </w:rPr>
        <w:t>ROC curve</w:t>
      </w:r>
    </w:p>
    <w:p w14:paraId="4FC5B6F4" w14:textId="77777777" w:rsidR="0028531E" w:rsidRPr="0028531E" w:rsidRDefault="0028531E" w:rsidP="0028531E">
      <w:pPr>
        <w:jc w:val="both"/>
        <w:rPr>
          <w:rFonts w:ascii="Bookman Old Style" w:hAnsi="Bookman Old Style"/>
        </w:rPr>
      </w:pPr>
    </w:p>
    <w:p w14:paraId="6F0890DE" w14:textId="0DD21BAF" w:rsidR="0028531E" w:rsidRDefault="0028531E" w:rsidP="0028531E">
      <w:pPr>
        <w:jc w:val="both"/>
        <w:rPr>
          <w:rFonts w:ascii="Bookman Old Style" w:hAnsi="Bookman Old Style"/>
        </w:rPr>
      </w:pPr>
      <w:r w:rsidRPr="0028531E">
        <w:rPr>
          <w:rFonts w:ascii="Bookman Old Style" w:hAnsi="Bookman Old Style"/>
        </w:rPr>
        <w:t>To find out more about the relationship between the incidence of colorectal cancer and TIMP-1 levels, a multivariate analysis was conducted to see the effect of TIMP-1 levels &gt;66.50 independently without being affected by other variables. From the results of multivariate analysis using logistic regression, it was found that there was a significant relationship between the incidence of colorectal cancer and TIMP-1 levels &gt;66.50 (p&lt;0.001). The adjusted RR value was found to be 14.70 with 95% CI: 3.880-55.696, which means that TIMP-1 levels &gt; 66.50 have a 14.7 times chance of developing colorectal cancer compared to patients with TIMP-1 levels &lt;66.50 (Table 4).</w:t>
      </w:r>
    </w:p>
    <w:p w14:paraId="507CD334" w14:textId="77777777" w:rsidR="00F1452D" w:rsidRPr="0028531E" w:rsidRDefault="00F1452D" w:rsidP="0028531E">
      <w:pPr>
        <w:jc w:val="both"/>
        <w:rPr>
          <w:rFonts w:ascii="Bookman Old Style" w:hAnsi="Bookman Old Style"/>
        </w:rPr>
      </w:pPr>
    </w:p>
    <w:p w14:paraId="36AA99DF" w14:textId="77777777" w:rsidR="0028531E" w:rsidRPr="0028531E" w:rsidRDefault="0028531E" w:rsidP="00F1452D">
      <w:pPr>
        <w:ind w:left="360"/>
        <w:jc w:val="center"/>
        <w:rPr>
          <w:rFonts w:ascii="Bookman Old Style" w:hAnsi="Bookman Old Style"/>
        </w:rPr>
      </w:pPr>
      <w:r w:rsidRPr="0028531E">
        <w:rPr>
          <w:rFonts w:ascii="Bookman Old Style" w:hAnsi="Bookman Old Style"/>
          <w:b/>
        </w:rPr>
        <w:t xml:space="preserve">Table 4 </w:t>
      </w:r>
      <w:r w:rsidRPr="0028531E">
        <w:rPr>
          <w:rFonts w:ascii="Bookman Old Style" w:hAnsi="Bookman Old Style"/>
        </w:rPr>
        <w:t>Multivariate Test</w:t>
      </w:r>
    </w:p>
    <w:p w14:paraId="49DDD85A" w14:textId="77777777" w:rsidR="0028531E" w:rsidRPr="0028531E" w:rsidRDefault="0028531E" w:rsidP="0028531E">
      <w:pPr>
        <w:ind w:left="360"/>
        <w:jc w:val="both"/>
        <w:rPr>
          <w:rFonts w:ascii="Bookman Old Style" w:hAnsi="Bookman Old Style"/>
        </w:rPr>
      </w:pPr>
    </w:p>
    <w:tbl>
      <w:tblPr>
        <w:tblStyle w:val="TableGrid"/>
        <w:tblW w:w="0" w:type="auto"/>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90"/>
        <w:gridCol w:w="900"/>
        <w:gridCol w:w="933"/>
        <w:gridCol w:w="1129"/>
        <w:gridCol w:w="1727"/>
      </w:tblGrid>
      <w:tr w:rsidR="0028531E" w:rsidRPr="0028531E" w14:paraId="5923CFE6" w14:textId="77777777" w:rsidTr="00B31A36">
        <w:trPr>
          <w:trHeight w:val="848"/>
        </w:trPr>
        <w:tc>
          <w:tcPr>
            <w:tcW w:w="2250" w:type="dxa"/>
            <w:tcBorders>
              <w:top w:val="single" w:sz="4" w:space="0" w:color="auto"/>
              <w:bottom w:val="single" w:sz="4" w:space="0" w:color="auto"/>
            </w:tcBorders>
            <w:vAlign w:val="center"/>
          </w:tcPr>
          <w:p w14:paraId="5EC1D474" w14:textId="77777777" w:rsidR="0028531E" w:rsidRPr="0028531E" w:rsidRDefault="0028531E" w:rsidP="0028531E">
            <w:pPr>
              <w:pStyle w:val="ListParagraph"/>
              <w:spacing w:after="0" w:line="240" w:lineRule="auto"/>
              <w:ind w:left="0"/>
              <w:jc w:val="both"/>
              <w:rPr>
                <w:rFonts w:ascii="Bookman Old Style" w:hAnsi="Bookman Old Style"/>
                <w:b/>
                <w:sz w:val="20"/>
                <w:szCs w:val="20"/>
              </w:rPr>
            </w:pPr>
          </w:p>
        </w:tc>
        <w:tc>
          <w:tcPr>
            <w:tcW w:w="990" w:type="dxa"/>
            <w:tcBorders>
              <w:top w:val="single" w:sz="4" w:space="0" w:color="auto"/>
              <w:bottom w:val="single" w:sz="4" w:space="0" w:color="auto"/>
            </w:tcBorders>
            <w:vAlign w:val="center"/>
          </w:tcPr>
          <w:p w14:paraId="4D004539" w14:textId="77777777" w:rsidR="0028531E" w:rsidRPr="0028531E" w:rsidRDefault="0028531E" w:rsidP="0028531E">
            <w:pPr>
              <w:pStyle w:val="ListParagraph"/>
              <w:spacing w:after="0" w:line="240" w:lineRule="auto"/>
              <w:ind w:left="0"/>
              <w:jc w:val="both"/>
              <w:rPr>
                <w:rFonts w:ascii="Bookman Old Style" w:hAnsi="Bookman Old Style"/>
                <w:b/>
                <w:sz w:val="20"/>
                <w:szCs w:val="20"/>
              </w:rPr>
            </w:pPr>
            <w:r w:rsidRPr="0028531E">
              <w:rPr>
                <w:rFonts w:ascii="Bookman Old Style" w:hAnsi="Bookman Old Style"/>
                <w:b/>
                <w:sz w:val="20"/>
                <w:szCs w:val="20"/>
              </w:rPr>
              <w:t>B</w:t>
            </w:r>
          </w:p>
        </w:tc>
        <w:tc>
          <w:tcPr>
            <w:tcW w:w="900" w:type="dxa"/>
            <w:tcBorders>
              <w:top w:val="single" w:sz="4" w:space="0" w:color="auto"/>
              <w:bottom w:val="single" w:sz="4" w:space="0" w:color="auto"/>
            </w:tcBorders>
            <w:vAlign w:val="center"/>
          </w:tcPr>
          <w:p w14:paraId="1E6C88CE" w14:textId="77777777" w:rsidR="0028531E" w:rsidRPr="0028531E" w:rsidRDefault="0028531E" w:rsidP="0028531E">
            <w:pPr>
              <w:pStyle w:val="ListParagraph"/>
              <w:spacing w:after="0" w:line="240" w:lineRule="auto"/>
              <w:ind w:left="0"/>
              <w:jc w:val="both"/>
              <w:rPr>
                <w:rFonts w:ascii="Bookman Old Style" w:hAnsi="Bookman Old Style"/>
                <w:b/>
                <w:sz w:val="20"/>
                <w:szCs w:val="20"/>
              </w:rPr>
            </w:pPr>
            <w:r w:rsidRPr="0028531E">
              <w:rPr>
                <w:rFonts w:ascii="Bookman Old Style" w:hAnsi="Bookman Old Style"/>
                <w:b/>
                <w:sz w:val="20"/>
                <w:szCs w:val="20"/>
              </w:rPr>
              <w:t>SE</w:t>
            </w:r>
          </w:p>
        </w:tc>
        <w:tc>
          <w:tcPr>
            <w:tcW w:w="900" w:type="dxa"/>
            <w:tcBorders>
              <w:top w:val="single" w:sz="4" w:space="0" w:color="auto"/>
              <w:bottom w:val="single" w:sz="4" w:space="0" w:color="auto"/>
            </w:tcBorders>
            <w:vAlign w:val="center"/>
          </w:tcPr>
          <w:p w14:paraId="44C90C4B" w14:textId="77777777" w:rsidR="0028531E" w:rsidRPr="0028531E" w:rsidRDefault="0028531E" w:rsidP="0028531E">
            <w:pPr>
              <w:pStyle w:val="ListParagraph"/>
              <w:spacing w:after="0" w:line="240" w:lineRule="auto"/>
              <w:ind w:left="0"/>
              <w:jc w:val="both"/>
              <w:rPr>
                <w:rFonts w:ascii="Bookman Old Style" w:hAnsi="Bookman Old Style"/>
                <w:b/>
                <w:sz w:val="20"/>
                <w:szCs w:val="20"/>
              </w:rPr>
            </w:pPr>
            <w:r w:rsidRPr="0028531E">
              <w:rPr>
                <w:rFonts w:ascii="Bookman Old Style" w:hAnsi="Bookman Old Style"/>
                <w:b/>
                <w:sz w:val="20"/>
                <w:szCs w:val="20"/>
              </w:rPr>
              <w:t>p-value</w:t>
            </w:r>
          </w:p>
        </w:tc>
        <w:tc>
          <w:tcPr>
            <w:tcW w:w="1080" w:type="dxa"/>
            <w:tcBorders>
              <w:top w:val="single" w:sz="4" w:space="0" w:color="auto"/>
              <w:bottom w:val="single" w:sz="4" w:space="0" w:color="auto"/>
            </w:tcBorders>
          </w:tcPr>
          <w:p w14:paraId="6FE981B2" w14:textId="77777777" w:rsidR="0028531E" w:rsidRPr="0028531E" w:rsidRDefault="0028531E" w:rsidP="0028531E">
            <w:pPr>
              <w:pStyle w:val="ListParagraph"/>
              <w:spacing w:after="0" w:line="240" w:lineRule="auto"/>
              <w:ind w:left="0"/>
              <w:jc w:val="both"/>
              <w:rPr>
                <w:rFonts w:ascii="Bookman Old Style" w:hAnsi="Bookman Old Style"/>
                <w:b/>
                <w:sz w:val="20"/>
                <w:szCs w:val="20"/>
              </w:rPr>
            </w:pPr>
            <w:r w:rsidRPr="0028531E">
              <w:rPr>
                <w:rFonts w:ascii="Bookman Old Style" w:hAnsi="Bookman Old Style"/>
                <w:b/>
                <w:sz w:val="20"/>
                <w:szCs w:val="20"/>
              </w:rPr>
              <w:t>Adjusted RR</w:t>
            </w:r>
          </w:p>
        </w:tc>
        <w:tc>
          <w:tcPr>
            <w:tcW w:w="1727" w:type="dxa"/>
            <w:tcBorders>
              <w:top w:val="single" w:sz="4" w:space="0" w:color="auto"/>
              <w:bottom w:val="single" w:sz="4" w:space="0" w:color="auto"/>
            </w:tcBorders>
          </w:tcPr>
          <w:p w14:paraId="6C216B71" w14:textId="77777777" w:rsidR="0028531E" w:rsidRPr="0028531E" w:rsidRDefault="0028531E" w:rsidP="0028531E">
            <w:pPr>
              <w:pStyle w:val="ListParagraph"/>
              <w:spacing w:after="0" w:line="240" w:lineRule="auto"/>
              <w:ind w:left="0"/>
              <w:jc w:val="both"/>
              <w:rPr>
                <w:rFonts w:ascii="Bookman Old Style" w:hAnsi="Bookman Old Style"/>
                <w:b/>
                <w:sz w:val="20"/>
                <w:szCs w:val="20"/>
              </w:rPr>
            </w:pPr>
            <w:r w:rsidRPr="0028531E">
              <w:rPr>
                <w:rFonts w:ascii="Bookman Old Style" w:hAnsi="Bookman Old Style"/>
                <w:b/>
                <w:sz w:val="20"/>
                <w:szCs w:val="20"/>
              </w:rPr>
              <w:t>95%CI</w:t>
            </w:r>
          </w:p>
        </w:tc>
      </w:tr>
      <w:tr w:rsidR="0028531E" w:rsidRPr="0028531E" w14:paraId="2E73C434" w14:textId="77777777" w:rsidTr="00B31A36">
        <w:tc>
          <w:tcPr>
            <w:tcW w:w="2250" w:type="dxa"/>
            <w:tcBorders>
              <w:top w:val="single" w:sz="4" w:space="0" w:color="auto"/>
            </w:tcBorders>
          </w:tcPr>
          <w:p w14:paraId="4DEBA284"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r w:rsidRPr="0028531E">
              <w:rPr>
                <w:rFonts w:ascii="Bookman Old Style" w:hAnsi="Bookman Old Style"/>
                <w:sz w:val="20"/>
                <w:szCs w:val="20"/>
              </w:rPr>
              <w:t>TIMP-1 level &gt;66.50</w:t>
            </w:r>
          </w:p>
        </w:tc>
        <w:tc>
          <w:tcPr>
            <w:tcW w:w="990" w:type="dxa"/>
            <w:tcBorders>
              <w:top w:val="single" w:sz="4" w:space="0" w:color="auto"/>
            </w:tcBorders>
          </w:tcPr>
          <w:p w14:paraId="63C6745F"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r w:rsidRPr="0028531E">
              <w:rPr>
                <w:rFonts w:ascii="Bookman Old Style" w:hAnsi="Bookman Old Style"/>
                <w:sz w:val="20"/>
                <w:szCs w:val="20"/>
              </w:rPr>
              <w:t>2,688</w:t>
            </w:r>
          </w:p>
        </w:tc>
        <w:tc>
          <w:tcPr>
            <w:tcW w:w="900" w:type="dxa"/>
            <w:tcBorders>
              <w:top w:val="single" w:sz="4" w:space="0" w:color="auto"/>
            </w:tcBorders>
          </w:tcPr>
          <w:p w14:paraId="4F6B5938"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r w:rsidRPr="0028531E">
              <w:rPr>
                <w:rFonts w:ascii="Bookman Old Style" w:hAnsi="Bookman Old Style"/>
                <w:sz w:val="20"/>
                <w:szCs w:val="20"/>
              </w:rPr>
              <w:t>0.680</w:t>
            </w:r>
          </w:p>
        </w:tc>
        <w:tc>
          <w:tcPr>
            <w:tcW w:w="900" w:type="dxa"/>
            <w:tcBorders>
              <w:top w:val="single" w:sz="4" w:space="0" w:color="auto"/>
            </w:tcBorders>
          </w:tcPr>
          <w:p w14:paraId="644AAB15" w14:textId="77777777" w:rsidR="0028531E" w:rsidRPr="0028531E" w:rsidRDefault="0028531E" w:rsidP="0028531E">
            <w:pPr>
              <w:pStyle w:val="ListParagraph"/>
              <w:spacing w:after="0" w:line="240" w:lineRule="auto"/>
              <w:ind w:left="0"/>
              <w:jc w:val="both"/>
              <w:rPr>
                <w:rFonts w:ascii="Bookman Old Style" w:hAnsi="Bookman Old Style"/>
                <w:b/>
                <w:sz w:val="20"/>
                <w:szCs w:val="20"/>
              </w:rPr>
            </w:pPr>
            <w:r w:rsidRPr="0028531E">
              <w:rPr>
                <w:rFonts w:ascii="Bookman Old Style" w:hAnsi="Bookman Old Style"/>
                <w:b/>
                <w:sz w:val="20"/>
                <w:szCs w:val="20"/>
              </w:rPr>
              <w:t>&lt;0.001</w:t>
            </w:r>
          </w:p>
        </w:tc>
        <w:tc>
          <w:tcPr>
            <w:tcW w:w="1080" w:type="dxa"/>
            <w:tcBorders>
              <w:top w:val="single" w:sz="4" w:space="0" w:color="auto"/>
            </w:tcBorders>
          </w:tcPr>
          <w:p w14:paraId="1F923A7E"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r w:rsidRPr="0028531E">
              <w:rPr>
                <w:rFonts w:ascii="Bookman Old Style" w:hAnsi="Bookman Old Style"/>
                <w:sz w:val="20"/>
                <w:szCs w:val="20"/>
              </w:rPr>
              <w:t>14.70</w:t>
            </w:r>
          </w:p>
        </w:tc>
        <w:tc>
          <w:tcPr>
            <w:tcW w:w="1727" w:type="dxa"/>
            <w:vMerge w:val="restart"/>
            <w:tcBorders>
              <w:top w:val="single" w:sz="4" w:space="0" w:color="auto"/>
            </w:tcBorders>
            <w:vAlign w:val="center"/>
          </w:tcPr>
          <w:p w14:paraId="47DAC2E6"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r w:rsidRPr="0028531E">
              <w:rPr>
                <w:rFonts w:ascii="Bookman Old Style" w:hAnsi="Bookman Old Style"/>
                <w:sz w:val="20"/>
                <w:szCs w:val="20"/>
              </w:rPr>
              <w:t>3,880-55,696</w:t>
            </w:r>
          </w:p>
        </w:tc>
      </w:tr>
      <w:tr w:rsidR="0028531E" w:rsidRPr="0028531E" w14:paraId="1ED32F13" w14:textId="77777777" w:rsidTr="00B31A36">
        <w:tc>
          <w:tcPr>
            <w:tcW w:w="2250" w:type="dxa"/>
          </w:tcPr>
          <w:p w14:paraId="2A3ABFC8"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r w:rsidRPr="0028531E">
              <w:rPr>
                <w:rFonts w:ascii="Bookman Old Style" w:hAnsi="Bookman Old Style"/>
                <w:sz w:val="20"/>
                <w:szCs w:val="20"/>
              </w:rPr>
              <w:t>Constant</w:t>
            </w:r>
          </w:p>
        </w:tc>
        <w:tc>
          <w:tcPr>
            <w:tcW w:w="990" w:type="dxa"/>
          </w:tcPr>
          <w:p w14:paraId="2ADC1AAC"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r w:rsidRPr="0028531E">
              <w:rPr>
                <w:rFonts w:ascii="Bookman Old Style" w:hAnsi="Bookman Old Style"/>
                <w:sz w:val="20"/>
                <w:szCs w:val="20"/>
              </w:rPr>
              <w:t>-1,435</w:t>
            </w:r>
          </w:p>
        </w:tc>
        <w:tc>
          <w:tcPr>
            <w:tcW w:w="900" w:type="dxa"/>
          </w:tcPr>
          <w:p w14:paraId="58F8091B"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r w:rsidRPr="0028531E">
              <w:rPr>
                <w:rFonts w:ascii="Bookman Old Style" w:hAnsi="Bookman Old Style"/>
                <w:sz w:val="20"/>
                <w:szCs w:val="20"/>
              </w:rPr>
              <w:t>0.498</w:t>
            </w:r>
          </w:p>
        </w:tc>
        <w:tc>
          <w:tcPr>
            <w:tcW w:w="900" w:type="dxa"/>
          </w:tcPr>
          <w:p w14:paraId="3E823BBB"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r w:rsidRPr="0028531E">
              <w:rPr>
                <w:rFonts w:ascii="Bookman Old Style" w:hAnsi="Bookman Old Style"/>
                <w:sz w:val="20"/>
                <w:szCs w:val="20"/>
              </w:rPr>
              <w:t>0.004</w:t>
            </w:r>
          </w:p>
        </w:tc>
        <w:tc>
          <w:tcPr>
            <w:tcW w:w="1080" w:type="dxa"/>
          </w:tcPr>
          <w:p w14:paraId="253A567E"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r w:rsidRPr="0028531E">
              <w:rPr>
                <w:rFonts w:ascii="Bookman Old Style" w:hAnsi="Bookman Old Style"/>
                <w:sz w:val="20"/>
                <w:szCs w:val="20"/>
              </w:rPr>
              <w:t>0.238</w:t>
            </w:r>
          </w:p>
        </w:tc>
        <w:tc>
          <w:tcPr>
            <w:tcW w:w="1727" w:type="dxa"/>
            <w:vMerge/>
          </w:tcPr>
          <w:p w14:paraId="4A14E648"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p>
        </w:tc>
      </w:tr>
    </w:tbl>
    <w:p w14:paraId="26C1BA5B" w14:textId="77777777" w:rsidR="0028531E" w:rsidRPr="0028531E" w:rsidRDefault="0028531E" w:rsidP="0028531E">
      <w:pPr>
        <w:pStyle w:val="ListParagraph"/>
        <w:spacing w:after="0" w:line="240" w:lineRule="auto"/>
        <w:ind w:left="0"/>
        <w:jc w:val="both"/>
        <w:rPr>
          <w:rFonts w:ascii="Bookman Old Style" w:hAnsi="Bookman Old Style"/>
          <w:b/>
          <w:sz w:val="20"/>
          <w:szCs w:val="20"/>
        </w:rPr>
      </w:pPr>
    </w:p>
    <w:p w14:paraId="7116EF5A"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r w:rsidRPr="0028531E">
        <w:rPr>
          <w:rFonts w:ascii="Bookman Old Style" w:hAnsi="Bookman Old Style"/>
          <w:sz w:val="20"/>
          <w:szCs w:val="20"/>
        </w:rPr>
        <w:t>To further review the relationship between TIMP-1 levels and cases of colorectal cancer, a correlation test was performed using Spearman Rho because TIMP-1 levels were not normally distributed. From the Spearman Rho correlation test, it was found that there was a significant positive correlation between TIMP-1 levels and cases of colorectal cancer (p&lt;0.001) of 0.680 (Table 5).</w:t>
      </w:r>
    </w:p>
    <w:p w14:paraId="17E935AD" w14:textId="77777777" w:rsidR="0028531E" w:rsidRPr="0028531E" w:rsidRDefault="0028531E" w:rsidP="0028531E">
      <w:pPr>
        <w:pStyle w:val="ListParagraph"/>
        <w:spacing w:after="0" w:line="240" w:lineRule="auto"/>
        <w:ind w:left="0" w:firstLine="720"/>
        <w:jc w:val="both"/>
        <w:rPr>
          <w:rFonts w:ascii="Bookman Old Style" w:hAnsi="Bookman Old Style"/>
          <w:sz w:val="20"/>
          <w:szCs w:val="20"/>
        </w:rPr>
      </w:pPr>
    </w:p>
    <w:p w14:paraId="68BCE990" w14:textId="4C43D712" w:rsidR="0028531E" w:rsidRDefault="0028531E" w:rsidP="00F1452D">
      <w:pPr>
        <w:jc w:val="center"/>
        <w:rPr>
          <w:rFonts w:ascii="Bookman Old Style" w:hAnsi="Bookman Old Style"/>
        </w:rPr>
      </w:pPr>
      <w:r w:rsidRPr="0028531E">
        <w:rPr>
          <w:rFonts w:ascii="Bookman Old Style" w:hAnsi="Bookman Old Style"/>
          <w:b/>
        </w:rPr>
        <w:t xml:space="preserve">Table 5. </w:t>
      </w:r>
      <w:r w:rsidRPr="0028531E">
        <w:rPr>
          <w:rFonts w:ascii="Bookman Old Style" w:hAnsi="Bookman Old Style"/>
        </w:rPr>
        <w:t>Spearman Rho. Correlation Test</w:t>
      </w:r>
    </w:p>
    <w:p w14:paraId="619EB47D" w14:textId="77777777" w:rsidR="00F1452D" w:rsidRPr="0028531E" w:rsidRDefault="00F1452D" w:rsidP="00F1452D">
      <w:pPr>
        <w:jc w:val="center"/>
        <w:rPr>
          <w:rFonts w:ascii="Bookman Old Style" w:hAnsi="Bookman Old Style"/>
        </w:rPr>
      </w:pP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436"/>
        <w:gridCol w:w="1276"/>
      </w:tblGrid>
      <w:tr w:rsidR="0028531E" w:rsidRPr="0028531E" w14:paraId="5F0C42A0" w14:textId="77777777" w:rsidTr="00B31A36">
        <w:trPr>
          <w:trHeight w:val="848"/>
          <w:jc w:val="center"/>
        </w:trPr>
        <w:tc>
          <w:tcPr>
            <w:tcW w:w="2250" w:type="dxa"/>
            <w:tcBorders>
              <w:top w:val="single" w:sz="8" w:space="0" w:color="auto"/>
              <w:bottom w:val="single" w:sz="8" w:space="0" w:color="auto"/>
            </w:tcBorders>
            <w:vAlign w:val="center"/>
          </w:tcPr>
          <w:p w14:paraId="32593099" w14:textId="77777777" w:rsidR="0028531E" w:rsidRPr="0028531E" w:rsidRDefault="0028531E" w:rsidP="0028531E">
            <w:pPr>
              <w:pStyle w:val="ListParagraph"/>
              <w:spacing w:after="0" w:line="240" w:lineRule="auto"/>
              <w:ind w:left="0"/>
              <w:jc w:val="both"/>
              <w:rPr>
                <w:rFonts w:ascii="Bookman Old Style" w:hAnsi="Bookman Old Style"/>
                <w:b/>
                <w:sz w:val="20"/>
                <w:szCs w:val="20"/>
              </w:rPr>
            </w:pPr>
          </w:p>
        </w:tc>
        <w:tc>
          <w:tcPr>
            <w:tcW w:w="1436" w:type="dxa"/>
            <w:tcBorders>
              <w:top w:val="single" w:sz="8" w:space="0" w:color="auto"/>
              <w:bottom w:val="single" w:sz="8" w:space="0" w:color="auto"/>
            </w:tcBorders>
            <w:vAlign w:val="center"/>
          </w:tcPr>
          <w:p w14:paraId="22AA3E04" w14:textId="77777777" w:rsidR="0028531E" w:rsidRPr="0028531E" w:rsidRDefault="0028531E" w:rsidP="0028531E">
            <w:pPr>
              <w:pStyle w:val="ListParagraph"/>
              <w:spacing w:after="0" w:line="240" w:lineRule="auto"/>
              <w:ind w:left="0"/>
              <w:jc w:val="both"/>
              <w:rPr>
                <w:rFonts w:ascii="Bookman Old Style" w:hAnsi="Bookman Old Style"/>
                <w:b/>
                <w:sz w:val="20"/>
                <w:szCs w:val="20"/>
              </w:rPr>
            </w:pPr>
            <w:r w:rsidRPr="0028531E">
              <w:rPr>
                <w:rFonts w:ascii="Bookman Old Style" w:hAnsi="Bookman Old Style"/>
                <w:b/>
                <w:sz w:val="20"/>
                <w:szCs w:val="20"/>
              </w:rPr>
              <w:t>R</w:t>
            </w:r>
          </w:p>
          <w:p w14:paraId="7819F086" w14:textId="77777777" w:rsidR="0028531E" w:rsidRPr="0028531E" w:rsidRDefault="0028531E" w:rsidP="0028531E">
            <w:pPr>
              <w:jc w:val="both"/>
              <w:rPr>
                <w:rFonts w:ascii="Bookman Old Style" w:hAnsi="Bookman Old Style"/>
              </w:rPr>
            </w:pPr>
            <w:r w:rsidRPr="0028531E">
              <w:rPr>
                <w:rFonts w:ascii="Bookman Old Style" w:hAnsi="Bookman Old Style"/>
              </w:rPr>
              <w:t>-value</w:t>
            </w:r>
          </w:p>
        </w:tc>
        <w:tc>
          <w:tcPr>
            <w:tcW w:w="1276" w:type="dxa"/>
            <w:tcBorders>
              <w:top w:val="single" w:sz="8" w:space="0" w:color="auto"/>
              <w:bottom w:val="single" w:sz="8" w:space="0" w:color="auto"/>
            </w:tcBorders>
            <w:vAlign w:val="center"/>
          </w:tcPr>
          <w:p w14:paraId="162D330D" w14:textId="77777777" w:rsidR="0028531E" w:rsidRPr="0028531E" w:rsidRDefault="0028531E" w:rsidP="0028531E">
            <w:pPr>
              <w:pStyle w:val="ListParagraph"/>
              <w:spacing w:after="0" w:line="240" w:lineRule="auto"/>
              <w:ind w:left="0"/>
              <w:jc w:val="both"/>
              <w:rPr>
                <w:rFonts w:ascii="Bookman Old Style" w:hAnsi="Bookman Old Style"/>
                <w:b/>
                <w:sz w:val="20"/>
                <w:szCs w:val="20"/>
              </w:rPr>
            </w:pPr>
            <w:r w:rsidRPr="0028531E">
              <w:rPr>
                <w:rFonts w:ascii="Bookman Old Style" w:hAnsi="Bookman Old Style"/>
                <w:b/>
                <w:sz w:val="20"/>
                <w:szCs w:val="20"/>
              </w:rPr>
              <w:t>p-value</w:t>
            </w:r>
          </w:p>
        </w:tc>
      </w:tr>
      <w:tr w:rsidR="0028531E" w:rsidRPr="0028531E" w14:paraId="0F0835BE" w14:textId="77777777" w:rsidTr="00B31A36">
        <w:trPr>
          <w:jc w:val="center"/>
        </w:trPr>
        <w:tc>
          <w:tcPr>
            <w:tcW w:w="2250" w:type="dxa"/>
            <w:tcBorders>
              <w:top w:val="single" w:sz="8" w:space="0" w:color="auto"/>
            </w:tcBorders>
          </w:tcPr>
          <w:p w14:paraId="7464EA36"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r w:rsidRPr="0028531E">
              <w:rPr>
                <w:rFonts w:ascii="Bookman Old Style" w:hAnsi="Bookman Old Style"/>
                <w:sz w:val="20"/>
                <w:szCs w:val="20"/>
              </w:rPr>
              <w:lastRenderedPageBreak/>
              <w:t>TIMP-1 levels</w:t>
            </w:r>
          </w:p>
        </w:tc>
        <w:tc>
          <w:tcPr>
            <w:tcW w:w="1436" w:type="dxa"/>
            <w:tcBorders>
              <w:top w:val="single" w:sz="8" w:space="0" w:color="auto"/>
            </w:tcBorders>
          </w:tcPr>
          <w:p w14:paraId="5E79FDA5" w14:textId="77777777" w:rsidR="0028531E" w:rsidRPr="0028531E" w:rsidRDefault="0028531E" w:rsidP="0028531E">
            <w:pPr>
              <w:pStyle w:val="ListParagraph"/>
              <w:spacing w:after="0" w:line="240" w:lineRule="auto"/>
              <w:ind w:left="0"/>
              <w:jc w:val="both"/>
              <w:rPr>
                <w:rFonts w:ascii="Bookman Old Style" w:hAnsi="Bookman Old Style"/>
                <w:b/>
                <w:sz w:val="20"/>
                <w:szCs w:val="20"/>
              </w:rPr>
            </w:pPr>
            <w:r w:rsidRPr="0028531E">
              <w:rPr>
                <w:rFonts w:ascii="Bookman Old Style" w:hAnsi="Bookman Old Style"/>
                <w:b/>
                <w:sz w:val="20"/>
                <w:szCs w:val="20"/>
              </w:rPr>
              <w:t>0.680</w:t>
            </w:r>
          </w:p>
        </w:tc>
        <w:tc>
          <w:tcPr>
            <w:tcW w:w="1276" w:type="dxa"/>
            <w:tcBorders>
              <w:top w:val="single" w:sz="8" w:space="0" w:color="auto"/>
            </w:tcBorders>
          </w:tcPr>
          <w:p w14:paraId="09048FAB" w14:textId="77777777" w:rsidR="0028531E" w:rsidRPr="0028531E" w:rsidRDefault="0028531E" w:rsidP="0028531E">
            <w:pPr>
              <w:pStyle w:val="ListParagraph"/>
              <w:spacing w:after="0" w:line="240" w:lineRule="auto"/>
              <w:ind w:left="0"/>
              <w:jc w:val="both"/>
              <w:rPr>
                <w:rFonts w:ascii="Bookman Old Style" w:hAnsi="Bookman Old Style"/>
                <w:b/>
                <w:sz w:val="20"/>
                <w:szCs w:val="20"/>
              </w:rPr>
            </w:pPr>
            <w:r w:rsidRPr="0028531E">
              <w:rPr>
                <w:rFonts w:ascii="Bookman Old Style" w:hAnsi="Bookman Old Style"/>
                <w:b/>
                <w:sz w:val="20"/>
                <w:szCs w:val="20"/>
              </w:rPr>
              <w:t>&lt;0.001</w:t>
            </w:r>
          </w:p>
        </w:tc>
      </w:tr>
      <w:tr w:rsidR="0028531E" w:rsidRPr="0028531E" w14:paraId="5EC036A8" w14:textId="77777777" w:rsidTr="00B31A36">
        <w:trPr>
          <w:jc w:val="center"/>
        </w:trPr>
        <w:tc>
          <w:tcPr>
            <w:tcW w:w="2250" w:type="dxa"/>
            <w:tcBorders>
              <w:bottom w:val="single" w:sz="8" w:space="0" w:color="auto"/>
            </w:tcBorders>
          </w:tcPr>
          <w:p w14:paraId="49026A5A"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r w:rsidRPr="0028531E">
              <w:rPr>
                <w:rFonts w:ascii="Bookman Old Style" w:hAnsi="Bookman Old Style"/>
                <w:sz w:val="20"/>
                <w:szCs w:val="20"/>
              </w:rPr>
              <w:t>Colorectal Cancer Cases</w:t>
            </w:r>
          </w:p>
        </w:tc>
        <w:tc>
          <w:tcPr>
            <w:tcW w:w="1436" w:type="dxa"/>
            <w:tcBorders>
              <w:bottom w:val="single" w:sz="8" w:space="0" w:color="auto"/>
            </w:tcBorders>
          </w:tcPr>
          <w:p w14:paraId="7CB6DE9A"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p>
        </w:tc>
        <w:tc>
          <w:tcPr>
            <w:tcW w:w="1276" w:type="dxa"/>
            <w:tcBorders>
              <w:bottom w:val="single" w:sz="8" w:space="0" w:color="auto"/>
            </w:tcBorders>
          </w:tcPr>
          <w:p w14:paraId="0E86A6F8" w14:textId="77777777" w:rsidR="0028531E" w:rsidRPr="0028531E" w:rsidRDefault="0028531E" w:rsidP="0028531E">
            <w:pPr>
              <w:pStyle w:val="ListParagraph"/>
              <w:spacing w:after="0" w:line="240" w:lineRule="auto"/>
              <w:ind w:left="0"/>
              <w:jc w:val="both"/>
              <w:rPr>
                <w:rFonts w:ascii="Bookman Old Style" w:hAnsi="Bookman Old Style"/>
                <w:sz w:val="20"/>
                <w:szCs w:val="20"/>
              </w:rPr>
            </w:pPr>
          </w:p>
        </w:tc>
      </w:tr>
    </w:tbl>
    <w:p w14:paraId="0EFDBE93" w14:textId="77777777" w:rsidR="0028531E" w:rsidRPr="0028531E" w:rsidRDefault="0028531E" w:rsidP="0028531E">
      <w:pPr>
        <w:pStyle w:val="ListParagraph"/>
        <w:spacing w:after="0" w:line="240" w:lineRule="auto"/>
        <w:ind w:left="0"/>
        <w:jc w:val="both"/>
        <w:rPr>
          <w:rFonts w:ascii="Bookman Old Style" w:hAnsi="Bookman Old Style"/>
          <w:b/>
          <w:bCs/>
          <w:sz w:val="20"/>
          <w:szCs w:val="20"/>
        </w:rPr>
      </w:pPr>
    </w:p>
    <w:p w14:paraId="3784C453" w14:textId="77777777" w:rsidR="0028531E" w:rsidRPr="0028531E" w:rsidRDefault="0028531E" w:rsidP="0028531E">
      <w:pPr>
        <w:jc w:val="both"/>
        <w:rPr>
          <w:rFonts w:ascii="Bookman Old Style" w:hAnsi="Bookman Old Style"/>
          <w:lang w:val="en-ID"/>
        </w:rPr>
      </w:pPr>
      <w:r w:rsidRPr="0028531E">
        <w:rPr>
          <w:rFonts w:ascii="Bookman Old Style" w:hAnsi="Bookman Old Style"/>
          <w:lang w:val="en-ID"/>
        </w:rPr>
        <w:t xml:space="preserve">The balance of activity between the enzyme tissue inhibitors of metalloproteinase (TIMP) and the enzyme matrix metalloproteinase (MMP) in the extracellular matrix is </w:t>
      </w:r>
      <w:r w:rsidRPr="0028531E">
        <w:rPr>
          <w:lang w:val="en-ID"/>
        </w:rPr>
        <w:t>​​</w:t>
      </w:r>
      <w:r w:rsidRPr="0028531E">
        <w:rPr>
          <w:rFonts w:ascii="Bookman Old Style" w:hAnsi="Bookman Old Style"/>
          <w:lang w:val="en-ID"/>
        </w:rPr>
        <w:t xml:space="preserve">known to have an important role in the process of </w:t>
      </w:r>
      <w:proofErr w:type="spellStart"/>
      <w:r w:rsidRPr="0028531E">
        <w:rPr>
          <w:rFonts w:ascii="Bookman Old Style" w:hAnsi="Bookman Old Style"/>
          <w:lang w:val="en-ID"/>
        </w:rPr>
        <w:t>tumor</w:t>
      </w:r>
      <w:proofErr w:type="spellEnd"/>
      <w:r w:rsidRPr="0028531E">
        <w:rPr>
          <w:rFonts w:ascii="Bookman Old Style" w:hAnsi="Bookman Old Style"/>
          <w:lang w:val="en-ID"/>
        </w:rPr>
        <w:t xml:space="preserve"> cell invasion. The tissue inhibitor of metalloproteinase-1 (TIMP-1) is an enzyme that can inhibit the proteolytic activity of MMP by forming a stoichiometric complex and regulating the </w:t>
      </w:r>
      <w:proofErr w:type="spellStart"/>
      <w:r w:rsidRPr="0028531E">
        <w:rPr>
          <w:rFonts w:ascii="Bookman Old Style" w:hAnsi="Bookman Old Style"/>
          <w:lang w:val="en-ID"/>
        </w:rPr>
        <w:t>remodeling</w:t>
      </w:r>
      <w:proofErr w:type="spellEnd"/>
      <w:r w:rsidRPr="0028531E">
        <w:rPr>
          <w:rFonts w:ascii="Bookman Old Style" w:hAnsi="Bookman Old Style"/>
          <w:lang w:val="en-ID"/>
        </w:rPr>
        <w:t xml:space="preserve"> balance of the extracellular matrix during the matrix degradation process</w:t>
      </w:r>
      <w:r w:rsidRPr="0028531E">
        <w:rPr>
          <w:rFonts w:ascii="Bookman Old Style" w:hAnsi="Bookman Old Style"/>
          <w:lang w:val="en-ID"/>
        </w:rPr>
        <w:fldChar w:fldCharType="begin" w:fldLock="1"/>
      </w:r>
      <w:r w:rsidRPr="0028531E">
        <w:rPr>
          <w:rFonts w:ascii="Bookman Old Style" w:hAnsi="Bookman Old Style"/>
          <w:lang w:val="en-ID"/>
        </w:rPr>
        <w:instrText>ADDIN CSL_CITATION {"citationItems":[{"id":"ITEM-1","itemData":{"DOI":"10.1074/jbc.M112.341156","ISSN":"1083-351X (Electronic)","PMID":"22427646","abstract":"Matrix metalloproteinase 10 (MMP-10, stromelysin-2) is a secreted metalloproteinase  with functions in skeletal development, wound healing, and vascular remodeling; its overexpression is also implicated in lung tumorigenesis and tumor progression. To understand the regulation of MMP-10 by tissue inhibitors of metalloproteinases (TIMPs), we have assessed equilibrium inhibition constants (K(i)) of putative physiological inhibitors TIMP-1 and TIMP-2 for the active catalytic domain of human MMP-10 (MMP-10cd) using multiple kinetic approaches. We find that TIMP-1 inhibits the MMP-10cd with a K(i) of 1.1 × 10(-9) M; this interaction is 10-fold weaker than the inhibition of the similar MMP-3 (stromelysin-1) catalytic domain (MMP-3cd) by TIMP-1. TIMP-2 inhibits the MMP-10cd with a K(i) of 5.8 × 10(-9) M, which is again 10-fold weaker than the inhibition of MMP-3cd by this inhibitor (K(i) = 5.5 × 10(-10) M). We solved the x-ray crystal structure of TIMP-1 bound to the MMP-10cd at 1.9 Å resolution; the structure was solved by molecular replacement and refined with an R-factor of 0.215 (R(free) = 0.266). Comparing our structure of MMP-10cd·TIMP-1 with the previously solved structure of MMP-3cd·TIMP-1 (Protein Data Bank entry 1UEA), we see substantial differences at the binding interface that provide insight into the differential binding of stromelysin family members to TIMP-1. This structural information may ultimately assist in the design of more selective TIMP-based inhibitors tailored for specificity toward individual members of the stromelysin family, with potential therapeutic applications.","author":[{"dropping-particle":"","family":"Batra","given":"Jyotica","non-dropping-particle":"","parse-names":false,"suffix":""},{"dropping-particle":"","family":"Robinson","given":"Jessica","non-dropping-particle":"","parse-names":false,"suffix":""},{"dropping-particle":"","family":"Soares","given":"Alexei S","non-dropping-particle":"","parse-names":false,"suffix":""},{"dropping-particle":"","family":"Fields","given":"Alan P","non-dropping-particle":"","parse-names":false,"suffix":""},{"dropping-particle":"","family":"Radisky","given":"Derek C","non-dropping-particle":"","parse-names":false,"suffix":""},{"dropping-particle":"","family":"Radisky","given":"Evette S","non-dropping-particle":"","parse-names":false,"suffix":""}],"container-title":"The Journal of biological chemistry","id":"ITEM-1","issue":"19","issued":{"date-parts":[["2012","5"]]},"language":"eng","page":"15935-15946","title":"Matrix metalloproteinase-10 (MMP-10) interaction with tissue inhibitors of  metalloproteinases TIMP-1 and TIMP-2: binding studies and crystal structure.","type":"article-journal","volume":"287"},"uris":["http://www.mendeley.com/documents/?uuid=7922fa27-b53f-432b-8837-fc0ef07b5a5c","http://www.mendeley.com/documents/?uuid=7f05c07a-a4db-449a-837e-93291ab98c53","http://www.mendeley.com/documents/?uuid=47e360d1-7a08-4973-9885-a56543979ca4"]}],"mendeley":{"formattedCitation":"(Batra &lt;i&gt;et al.&lt;/i&gt;, 2012)","plainTextFormattedCitation":"(Batra et al., 2012)","previouslyFormattedCitation":"(Batra &lt;i&gt;et al.&lt;/i&gt;, 2012)"},"properties":{"noteIndex":0},"schema":"https://github.com/citation-style-language/schema/raw/master/csl-citation.json"}</w:instrText>
      </w:r>
      <w:r w:rsidRPr="0028531E">
        <w:rPr>
          <w:rFonts w:ascii="Bookman Old Style" w:hAnsi="Bookman Old Style"/>
          <w:lang w:val="en-ID"/>
        </w:rPr>
        <w:fldChar w:fldCharType="separate"/>
      </w:r>
      <w:r w:rsidRPr="0028531E">
        <w:rPr>
          <w:rFonts w:ascii="Bookman Old Style" w:hAnsi="Bookman Old Style"/>
          <w:noProof/>
          <w:lang w:val="en-ID"/>
        </w:rPr>
        <w:t xml:space="preserve"> (Batra et al., 2012)</w:t>
      </w:r>
      <w:r w:rsidRPr="0028531E">
        <w:rPr>
          <w:rFonts w:ascii="Bookman Old Style" w:hAnsi="Bookman Old Style"/>
          <w:lang w:val="en-ID"/>
        </w:rPr>
        <w:fldChar w:fldCharType="end"/>
      </w:r>
      <w:r w:rsidRPr="0028531E">
        <w:rPr>
          <w:rFonts w:ascii="Bookman Old Style" w:hAnsi="Bookman Old Style"/>
          <w:lang w:val="en-ID"/>
        </w:rPr>
        <w:t xml:space="preserve">. The findings obtained in various types of </w:t>
      </w:r>
      <w:proofErr w:type="spellStart"/>
      <w:r w:rsidRPr="0028531E">
        <w:rPr>
          <w:rFonts w:ascii="Bookman Old Style" w:hAnsi="Bookman Old Style"/>
          <w:lang w:val="en-ID"/>
        </w:rPr>
        <w:t>tumors</w:t>
      </w:r>
      <w:proofErr w:type="spellEnd"/>
      <w:r w:rsidRPr="0028531E">
        <w:rPr>
          <w:rFonts w:ascii="Bookman Old Style" w:hAnsi="Bookman Old Style"/>
          <w:lang w:val="en-ID"/>
        </w:rPr>
        <w:t xml:space="preserve"> namely increased levels of TIMP-1 are associated with the rate of invasion of cancer cells, metastasis, and survival of cancer patients. The study conducted by Song et al. showed that TIMP-1 expression level correlated with patient clinical outcome </w:t>
      </w:r>
      <w:r w:rsidRPr="0028531E">
        <w:rPr>
          <w:rFonts w:ascii="Bookman Old Style" w:hAnsi="Bookman Old Style"/>
          <w:lang w:val="en-ID"/>
        </w:rPr>
        <w:fldChar w:fldCharType="begin" w:fldLock="1"/>
      </w:r>
      <w:r w:rsidRPr="0028531E">
        <w:rPr>
          <w:rFonts w:ascii="Bookman Old Style" w:hAnsi="Bookman Old Style"/>
          <w:lang w:val="en-ID"/>
        </w:rPr>
        <w:instrText>ADDIN CSL_CITATION {"citationItems":[{"id":"ITEM-1","itemData":{"DOI":"10.1186/s13046-016-0427-7","ISSN":"1756-9966","abstract":"Tissue inhibitor matrix metalloproteinase 1 (TIMP1) plays a vital role in carcinogenesis, yet its precise functional roles and regulation remain unclear. In this study, we aim to investigate its biological function and clinical significance in human colon cancer.","author":[{"dropping-particle":"","family":"Song","given":"Guohe","non-dropping-particle":"","parse-names":false,"suffix":""},{"dropping-particle":"","family":"Xu","given":"Shifeng","non-dropping-particle":"","parse-names":false,"suffix":""},{"dropping-particle":"","family":"Zhang","given":"Hong","non-dropping-particle":"","parse-names":false,"suffix":""},{"dropping-particle":"","family":"Wang","given":"Yupeng","non-dropping-particle":"","parse-names":false,"suffix":""},{"dropping-particle":"","family":"Xiao","given":"Chao","non-dropping-particle":"","parse-names":false,"suffix":""},{"dropping-particle":"","family":"Jiang","given":"Tao","non-dropping-particle":"","parse-names":false,"suffix":""},{"dropping-particle":"","family":"Wu","given":"Leilei","non-dropping-particle":"","parse-names":false,"suffix":""},{"dropping-particle":"","family":"Zhang","given":"Tao","non-dropping-particle":"","parse-names":false,"suffix":""},{"dropping-particle":"","family":"Sun","given":"Xing","non-dropping-particle":"","parse-names":false,"suffix":""},{"dropping-particle":"","family":"Zhong","given":"Lin","non-dropping-particle":"","parse-names":false,"suffix":""},{"dropping-particle":"","family":"Zhou","given":"Chongzhi","non-dropping-particle":"","parse-names":false,"suffix":""},{"dropping-particle":"","family":"Wang","given":"Zhaowen","non-dropping-particle":"","parse-names":false,"suffix":""},{"dropping-particle":"","family":"Peng","given":"Zhihai","non-dropping-particle":"","parse-names":false,"suffix":""},{"dropping-particle":"","family":"Chen","given":"Jian","non-dropping-particle":"","parse-names":false,"suffix":""},{"dropping-particle":"","family":"Wang","given":"Xiaoliang","non-dropping-particle":"","parse-names":false,"suffix":""}],"container-title":"Journal of Experimental &amp; Clinical Cancer Research","id":"ITEM-1","issue":"1","issued":{"date-parts":[["2016"]]},"page":"148","title":"TIMP1 is a prognostic marker for the progression and metastasis of colon cancer through FAK-PI3K/AKT and MAPK pathway","type":"article-journal","volume":"35"},"uris":["http://www.mendeley.com/documents/?uuid=f054d016-1c65-49bc-af7b-798ec1b2603d","http://www.mendeley.com/documents/?uuid=695549fe-41fe-43df-8374-515cad7a775e","http://www.mendeley.com/documents/?uuid=31543d65-33c2-4598-b0e0-0d462b0caa59"]}],"mendeley":{"formattedCitation":"(Song &lt;i&gt;et al.&lt;/i&gt;, 2016)","plainTextFormattedCitation":"(Song et al., 2016)","previouslyFormattedCitation":"(Song &lt;i&gt;et al.&lt;/i&gt;, 2016a)"},"properties":{"noteIndex":0},"schema":"https://github.com/citation-style-language/schema/raw/master/csl-citation.json"}</w:instrText>
      </w:r>
      <w:r w:rsidRPr="0028531E">
        <w:rPr>
          <w:rFonts w:ascii="Bookman Old Style" w:hAnsi="Bookman Old Style"/>
          <w:lang w:val="en-ID"/>
        </w:rPr>
        <w:fldChar w:fldCharType="separate"/>
      </w:r>
      <w:r w:rsidRPr="0028531E">
        <w:rPr>
          <w:rFonts w:ascii="Bookman Old Style" w:hAnsi="Bookman Old Style"/>
          <w:noProof/>
          <w:lang w:val="en-ID"/>
        </w:rPr>
        <w:t xml:space="preserve">(Song </w:t>
      </w:r>
      <w:r w:rsidRPr="0028531E">
        <w:rPr>
          <w:rFonts w:ascii="Bookman Old Style" w:hAnsi="Bookman Old Style"/>
          <w:i/>
          <w:noProof/>
          <w:lang w:val="en-ID"/>
        </w:rPr>
        <w:t>et al.</w:t>
      </w:r>
      <w:r w:rsidRPr="0028531E">
        <w:rPr>
          <w:rFonts w:ascii="Bookman Old Style" w:hAnsi="Bookman Old Style"/>
          <w:noProof/>
          <w:lang w:val="en-ID"/>
        </w:rPr>
        <w:t>, 2016)</w:t>
      </w:r>
      <w:r w:rsidRPr="0028531E">
        <w:rPr>
          <w:rFonts w:ascii="Bookman Old Style" w:hAnsi="Bookman Old Style"/>
          <w:lang w:val="en-ID"/>
        </w:rPr>
        <w:fldChar w:fldCharType="end"/>
      </w:r>
      <w:r w:rsidRPr="0028531E">
        <w:rPr>
          <w:rFonts w:ascii="Bookman Old Style" w:hAnsi="Bookman Old Style"/>
          <w:lang w:val="en-ID"/>
        </w:rPr>
        <w:t xml:space="preserve"> </w:t>
      </w:r>
    </w:p>
    <w:p w14:paraId="7B6C8375" w14:textId="77777777" w:rsidR="0028531E" w:rsidRPr="0028531E" w:rsidRDefault="0028531E" w:rsidP="0028531E">
      <w:pPr>
        <w:jc w:val="both"/>
        <w:rPr>
          <w:rFonts w:ascii="Bookman Old Style" w:hAnsi="Bookman Old Style"/>
          <w:lang w:val="en-ID"/>
        </w:rPr>
      </w:pPr>
    </w:p>
    <w:p w14:paraId="0CFC2182" w14:textId="77777777" w:rsidR="0028531E" w:rsidRPr="0028531E" w:rsidRDefault="0028531E" w:rsidP="0028531E">
      <w:pPr>
        <w:jc w:val="both"/>
        <w:rPr>
          <w:rFonts w:ascii="Bookman Old Style" w:hAnsi="Bookman Old Style"/>
          <w:lang w:val="en-ID"/>
        </w:rPr>
      </w:pPr>
      <w:r w:rsidRPr="0028531E">
        <w:rPr>
          <w:rFonts w:ascii="Bookman Old Style" w:hAnsi="Bookman Old Style"/>
          <w:lang w:val="en-ID"/>
        </w:rPr>
        <w:t xml:space="preserve">Colon cancer patients with high TIMP-1 expression levels have a worse survival when compared to patients with low TIMP-1 expression levels. TIMP-1 overexpression is also associated with the activation of FAK, a regulator of the PI3K-AKT </w:t>
      </w:r>
      <w:proofErr w:type="spellStart"/>
      <w:r w:rsidRPr="0028531E">
        <w:rPr>
          <w:rFonts w:ascii="Bookman Old Style" w:hAnsi="Bookman Old Style"/>
          <w:lang w:val="en-ID"/>
        </w:rPr>
        <w:t>signaling</w:t>
      </w:r>
      <w:proofErr w:type="spellEnd"/>
      <w:r w:rsidRPr="0028531E">
        <w:rPr>
          <w:rFonts w:ascii="Bookman Old Style" w:hAnsi="Bookman Old Style"/>
          <w:lang w:val="en-ID"/>
        </w:rPr>
        <w:t xml:space="preserve"> pathway </w:t>
      </w:r>
      <w:r w:rsidRPr="0028531E">
        <w:rPr>
          <w:rFonts w:ascii="Bookman Old Style" w:hAnsi="Bookman Old Style"/>
          <w:lang w:val="en-ID"/>
        </w:rPr>
        <w:fldChar w:fldCharType="begin" w:fldLock="1"/>
      </w:r>
      <w:r w:rsidRPr="0028531E">
        <w:rPr>
          <w:rFonts w:ascii="Bookman Old Style" w:hAnsi="Bookman Old Style"/>
          <w:lang w:val="en-ID"/>
        </w:rPr>
        <w:instrText>ADDIN CSL_CITATION {"citationItems":[{"id":"ITEM-1","itemData":{"DOI":"10.1038/ncomms3020","ISSN":"2041-1723 (Electronic)","PMID":"23799510","abstract":"Genetic ablation of endothelial focal adhesion kinase (FAK) can inhibit pathological  angiogenesis, suggesting that loss of endothelial FAK is sufficient to reduce neovascularization. Here we show that reduced stromal FAK expression in FAK-heterozygous mice unexpectedly enhances both B16F0 and CMT19T tumour growth and angiogenesis. We further demonstrate that cell proliferation and microvessel sprouting, but not migration, are increased in serum-stimulated FAK-heterozygous endothelial cells. FAK-heterozygous endothelial cells display an imbalance in FAK phosphorylation at pY397 and pY861 without changes in Pyk2 or Erk1/2 activity. By contrast, serum-stimulated phosphorylation of Akt is enhanced in FAK-heterozygous endothelial cells and these cells are more sensitive to Akt inhibition. Additionally, low doses of a pharmacological FAK inhibitor, although too low to affect FAK autophosphorylation in vitro, can enhance angiogenesis ex vivo and tumour growth in vivo. Our results highlight a potential novel role for FAK as a nonlinear, dose-dependent regulator of angiogenesis where heterozygous levels of FAK enhance angiogenesis.","author":[{"dropping-particle":"","family":"Kostourou","given":"Vassiliki","non-dropping-particle":"","parse-names":false,"suffix":""},{"dropping-particle":"","family":"Lechertier","given":"Tanguy","non-dropping-particle":"","parse-names":false,"suffix":""},{"dropping-particle":"","family":"Reynolds","given":"Louise E","non-dropping-particle":"","parse-names":false,"suffix":""},{"dropping-particle":"","family":"Lees","given":"Delphine M","non-dropping-particle":"","parse-names":false,"suffix":""},{"dropping-particle":"","family":"Baker","given":"Marianne","non-dropping-particle":"","parse-names":false,"suffix":""},{"dropping-particle":"","family":"Jones","given":"Dylan T","non-dropping-particle":"","parse-names":false,"suffix":""},{"dropping-particle":"","family":"Tavora","given":"Bernardo","non-dropping-particle":"","parse-names":false,"suffix":""},{"dropping-particle":"","family":"Ramjaun","given":"Antoine R","non-dropping-particle":"","parse-names":false,"suffix":""},{"dropping-particle":"","family":"Birdsey","given":"Graeme M","non-dropping-particle":"","parse-names":false,"suffix":""},{"dropping-particle":"","family":"Robinson","given":"Stephen D","non-dropping-particle":"","parse-names":false,"suffix":""},{"dropping-particle":"","family":"Parsons","given":"Maddy","non-dropping-particle":"","parse-names":false,"suffix":""},{"dropping-particle":"","family":"Randi","given":"Anna M","non-dropping-particle":"","parse-names":false,"suffix":""},{"dropping-particle":"","family":"Hart","given":"Ian R","non-dropping-particle":"","parse-names":false,"suffix":""},{"dropping-particle":"","family":"Hodivala-Dilke","given":"Kairbaan","non-dropping-particle":"","parse-names":false,"suffix":""}],"container-title":"Nature communications","id":"ITEM-1","issued":{"date-parts":[["2013"]]},"language":"eng","page":"2020","title":"FAK-heterozygous mice display enhanced tumour angiogenesis.","type":"article-journal","volume":"4"},"uris":["http://www.mendeley.com/documents/?uuid=136c2792-e65b-4422-93cd-a7667a37e3b2","http://www.mendeley.com/documents/?uuid=6b982015-fc35-493d-b210-c046d56a7618","http://www.mendeley.com/documents/?uuid=79936c95-c76c-4574-a98c-d38f4d7648b0"]},{"id":"ITEM-2","itemData":{"DOI":"10.18632/oncotarget.6399","ISSN":"1949-2553 (Electronic)","PMID":"26621838","abstract":"Type XIX collagen is a minor collagen associated with basement membranes. It was  isolated for the first time in a human cDNA library from rhabdomyosarcoma and belongs to the FACITs family (Fibril Associated Collagens with Interrupted Triple Helices). Previously, we demonstrated that the NC1 domain of collagen XIX (NC1(XIX)) exerts anti-tumor properties on melanoma cells by inhibiting their migration and invasion. In the present work, we identified for the first time the integrin αvβ3 as a receptor of NC1(XIX). Moreover, we demonstrated that NC1(XIX) inhibits the FAK/PI3K/Akt/mTOR pathway, by decreasing the phosphorylation and activity of the major proteins involved in this pathway. On the other hand, NC1(XIX) induced an increase of GSK3β activity by decreasing its degree of phosphorylation. Treatments targeting this central signaling pathway in the development of melanoma are promising and new molecules should be developed. NC1(XIX) seems to have the potential for the design of new anti-cancer drugs.","author":[{"dropping-particle":"","family":"Oudart","given":"Jean-Baptiste","non-dropping-particle":"","parse-names":false,"suffix":""},{"dropping-particle":"","family":"Doué","given":"Manon","non-dropping-particle":"","parse-names":false,"suffix":""},{"dropping-particle":"","family":"Vautrin","given":"Alexia","non-dropping-particle":"","parse-names":false,"suffix":""},{"dropping-particle":"","family":"Brassart","given":"Bertrand","non-dropping-particle":"","parse-names":false,"suffix":""},{"dropping-particle":"","family":"Sellier","given":"Christèle","non-dropping-particle":"","parse-names":false,"suffix":""},{"dropping-particle":"","family":"Dupont-Deshorgue","given":"Aurelie","non-dropping-particle":"","parse-names":false,"suffix":""},{"dropping-particle":"","family":"Monboisse","given":"Jean-Claude","non-dropping-particle":"","parse-names":false,"suffix":""},{"dropping-particle":"","family":"Maquart","given":"François-Xavier","non-dropping-particle":"","parse-names":false,"suffix":""},{"dropping-particle":"","family":"Brassart-Pasco","given":"Sylvie","non-dropping-particle":"","parse-names":false,"suffix":""},{"dropping-particle":"","family":"Ramont","given":"Laurent","non-dropping-particle":"","parse-names":false,"suffix":""}],"container-title":"Oncotarget","id":"ITEM-2","issue":"2","issued":{"date-parts":[["2016","1"]]},"language":"eng","page":"1516-1528","title":"The anti-tumor NC1 domain of collagen XIX inhibits the FAK/ PI3K/Akt/mTOR signaling  pathway through αvβ3 integrin interaction.","type":"article-journal","volume":"7"},"uris":["http://www.mendeley.com/documents/?uuid=99f36dd6-a0c0-4b1f-9a0e-2578cb427895","http://www.mendeley.com/documents/?uuid=da58ee8e-ad32-4786-8d1e-56c4c2060d4c","http://www.mendeley.com/documents/?uuid=eb6cfe6d-5a85-426b-946e-d220443b826c"]},{"id":"ITEM-3","itemData":{"DOI":"10.1186/s13046-016-0427-7","ISSN":"1756-9966","abstract":"Tissue inhibitor matrix metalloproteinase 1 (TIMP1) plays a vital role in carcinogenesis, yet its precise functional roles and regulation remain unclear. In this study, we aim to investigate its biological function and clinical significance in human colon cancer.","author":[{"dropping-particle":"","family":"Song","given":"Guohe","non-dropping-particle":"","parse-names":false,"suffix":""},{"dropping-particle":"","family":"Xu","given":"Shifeng","non-dropping-particle":"","parse-names":false,"suffix":""},{"dropping-particle":"","family":"Zhang","given":"Hong","non-dropping-particle":"","parse-names":false,"suffix":""},{"dropping-particle":"","family":"Wang","given":"Yupeng","non-dropping-particle":"","parse-names":false,"suffix":""},{"dropping-particle":"","family":"Xiao","given":"Chao","non-dropping-particle":"","parse-names":false,"suffix":""},{"dropping-particle":"","family":"Jiang","given":"Tao","non-dropping-particle":"","parse-names":false,"suffix":""},{"dropping-particle":"","family":"Wu","given":"Leilei","non-dropping-particle":"","parse-names":false,"suffix":""},{"dropping-particle":"","family":"Zhang","given":"Tao","non-dropping-particle":"","parse-names":false,"suffix":""},{"dropping-particle":"","family":"Sun","given":"Xing","non-dropping-particle":"","parse-names":false,"suffix":""},{"dropping-particle":"","family":"Zhong","given":"Lin","non-dropping-particle":"","parse-names":false,"suffix":""},{"dropping-particle":"","family":"Zhou","given":"Chongzhi","non-dropping-particle":"","parse-names":false,"suffix":""},{"dropping-particle":"","family":"Wang","given":"Zhaowen","non-dropping-particle":"","parse-names":false,"suffix":""},{"dropping-particle":"","family":"Peng","given":"Zhihai","non-dropping-particle":"","parse-names":false,"suffix":""},{"dropping-particle":"","family":"Chen","given":"Jian","non-dropping-particle":"","parse-names":false,"suffix":""},{"dropping-particle":"","family":"Wang","given":"Xiaoliang","non-dropping-particle":"","parse-names":false,"suffix":""}],"container-title":"Journal of Experimental &amp; Clinical Cancer Research","id":"ITEM-3","issue":"1","issued":{"date-parts":[["2016"]]},"page":"148","title":"TIMP1 is a prognostic marker for the progression and metastasis of colon cancer through FAK-PI3K/AKT and MAPK pathway","type":"article-journal","volume":"35"},"uris":["http://www.mendeley.com/documents/?uuid=31543d65-33c2-4598-b0e0-0d462b0caa59","http://www.mendeley.com/documents/?uuid=695549fe-41fe-43df-8374-515cad7a775e","http://www.mendeley.com/documents/?uuid=f054d016-1c65-49bc-af7b-798ec1b2603d"]}],"mendeley":{"formattedCitation":"(Kostourou &lt;i&gt;et al.&lt;/i&gt;, 2013; Oudart &lt;i&gt;et al.&lt;/i&gt;, 2016; Song &lt;i&gt;et al.&lt;/i&gt;, 2016)","plainTextFormattedCitation":"(Kostourou et al., 2013; Oudart et al., 2016; Song et al., 2016)","previouslyFormattedCitation":"(Kostourou &lt;i&gt;et al.&lt;/i&gt;, 2013; Oudart &lt;i&gt;et al.&lt;/i&gt;, 2016; Song &lt;i&gt;et al.&lt;/i&gt;, 2016a)"},"properties":{"noteIndex":0},"schema":"https://github.com/citation-style-language/schema/raw/master/csl-citation.json"}</w:instrText>
      </w:r>
      <w:r w:rsidRPr="0028531E">
        <w:rPr>
          <w:rFonts w:ascii="Bookman Old Style" w:hAnsi="Bookman Old Style"/>
          <w:lang w:val="en-ID"/>
        </w:rPr>
        <w:fldChar w:fldCharType="separate"/>
      </w:r>
      <w:r w:rsidRPr="0028531E">
        <w:rPr>
          <w:rFonts w:ascii="Bookman Old Style" w:hAnsi="Bookman Old Style"/>
          <w:noProof/>
          <w:lang w:val="en-ID"/>
        </w:rPr>
        <w:t xml:space="preserve">(Kostourou </w:t>
      </w:r>
      <w:r w:rsidRPr="0028531E">
        <w:rPr>
          <w:rFonts w:ascii="Bookman Old Style" w:hAnsi="Bookman Old Style"/>
          <w:i/>
          <w:noProof/>
          <w:lang w:val="en-ID"/>
        </w:rPr>
        <w:t>et al.</w:t>
      </w:r>
      <w:r w:rsidRPr="0028531E">
        <w:rPr>
          <w:rFonts w:ascii="Bookman Old Style" w:hAnsi="Bookman Old Style"/>
          <w:noProof/>
          <w:lang w:val="en-ID"/>
        </w:rPr>
        <w:t xml:space="preserve">, 2013; Oudart </w:t>
      </w:r>
      <w:r w:rsidRPr="0028531E">
        <w:rPr>
          <w:rFonts w:ascii="Bookman Old Style" w:hAnsi="Bookman Old Style"/>
          <w:i/>
          <w:noProof/>
          <w:lang w:val="en-ID"/>
        </w:rPr>
        <w:t>et al.</w:t>
      </w:r>
      <w:r w:rsidRPr="0028531E">
        <w:rPr>
          <w:rFonts w:ascii="Bookman Old Style" w:hAnsi="Bookman Old Style"/>
          <w:noProof/>
          <w:lang w:val="en-ID"/>
        </w:rPr>
        <w:t xml:space="preserve">, 2016; Song </w:t>
      </w:r>
      <w:r w:rsidRPr="0028531E">
        <w:rPr>
          <w:rFonts w:ascii="Bookman Old Style" w:hAnsi="Bookman Old Style"/>
          <w:i/>
          <w:noProof/>
          <w:lang w:val="en-ID"/>
        </w:rPr>
        <w:t>et al.</w:t>
      </w:r>
      <w:r w:rsidRPr="0028531E">
        <w:rPr>
          <w:rFonts w:ascii="Bookman Old Style" w:hAnsi="Bookman Old Style"/>
          <w:noProof/>
          <w:lang w:val="en-ID"/>
        </w:rPr>
        <w:t>, 2016)</w:t>
      </w:r>
      <w:r w:rsidRPr="0028531E">
        <w:rPr>
          <w:rFonts w:ascii="Bookman Old Style" w:hAnsi="Bookman Old Style"/>
          <w:lang w:val="en-ID"/>
        </w:rPr>
        <w:fldChar w:fldCharType="end"/>
      </w:r>
      <w:r w:rsidRPr="0028531E">
        <w:rPr>
          <w:rFonts w:ascii="Bookman Old Style" w:hAnsi="Bookman Old Style"/>
          <w:lang w:val="en-ID"/>
        </w:rPr>
        <w:t>. AKT phosphorylation will upregulate cyclin D1 and downregulate p21 and p27 proteins, which are cyclin D kinase (CDK) inhibitors, thereby promoting the cell cycle's progression. In addition, AKT phosphorylation will further phosphorylate and activate BAD, activating the anti-apoptotic Bcl-2 protein. Song et al. also found that TIMP-1 can downregulate E-cadherin and increase fibronectin which can facilitate the process of invasion and metastasis of colon cancer cells. Based on this mechanism, TIMP-1 has an important role in cancer proliferation, metastatic ability, and anti-apoptosis. Other studies have also shown that the detection of colorectal cancer metastases can be done by checking serum TIMP-1 levels</w:t>
      </w:r>
      <w:r w:rsidRPr="0028531E">
        <w:rPr>
          <w:rFonts w:ascii="Bookman Old Style" w:hAnsi="Bookman Old Style"/>
          <w:lang w:val="en-ID"/>
        </w:rPr>
        <w:fldChar w:fldCharType="begin" w:fldLock="1"/>
      </w:r>
      <w:r w:rsidRPr="0028531E">
        <w:rPr>
          <w:rFonts w:ascii="Bookman Old Style" w:hAnsi="Bookman Old Style"/>
          <w:lang w:val="en-ID"/>
        </w:rPr>
        <w:instrText>ADDIN CSL_CITATION {"citationItems":[{"id":"ITEM-1","itemData":{"DOI":"10.1177/1724600819866202","ISSN":"17246008","PMID":"31578137","abstract":"Objective: Tissue inhibitor of metalloproteinases 1 (TIMP-1) and matrix metalloproteinase 7 (MMP-7) were reported to have potent growth promoting activity. Lack of balance between MMPs and TIMPs is an important factor in the development of gastrointestinal malignancies. Methods: We collected serum samples from 97 patients with metastatic colorectal cancer and 79 samples from healthy controls. Serum levels of TIMP-1 and MMP-7 were measured immunochemically and compared with standard tumor markers carcinoembryonic antigen and CA19-9. Results: Serum levels of TIMP-1 and MMP-7 were significantly higher in patients with colorectal cancer compared to healthy controls (both, P &lt; 0.001). TIMP-1 and MMP-7 correlate with the presence of colon involvement (P = 0.001; P = 0.012) and the presence of liver metastases (P = 0.002; P = 0.037), and negatively correlate with pulmonary metastases (P = 0.014; P = 0.005). MMP-7 had similar sensitivity and the same specificity as carcinoembryonic antigen. TIMP-1 and MMP-7 had better sensitivity than CA19-9. TIMP-1 and MMP-7 level correlate with worse outcome (P = 0.002). Conclusion: The results indicate that TIMP-1 and MMP-7 are effective biomarkers in patients with metastatic colorectal cancer with good sensitivity. TIMP-1 and MMP-7 levels strongly correlate with the extent of liver disease and have prognostic value.","author":[{"dropping-particle":"","family":"Vočka","given":"Michal","non-dropping-particle":"","parse-names":false,"suffix":""},{"dropping-particle":"","family":"Langer","given":"Daniel","non-dropping-particle":"","parse-names":false,"suffix":""},{"dropping-particle":"","family":"Fryba","given":"Vladimir","non-dropping-particle":"","parse-names":false,"suffix":""},{"dropping-particle":"","family":"Petrtyl","given":"Jaromir","non-dropping-particle":"","parse-names":false,"suffix":""},{"dropping-particle":"","family":"Hanus","given":"Tomas","non-dropping-particle":"","parse-names":false,"suffix":""},{"dropping-particle":"","family":"Kalousova","given":"Marta","non-dropping-particle":"","parse-names":false,"suffix":""},{"dropping-particle":"","family":"Zima","given":"Tomas","non-dropping-particle":"","parse-names":false,"suffix":""},{"dropping-particle":"","family":"Petruzelka","given":"Lubos","non-dropping-particle":"","parse-names":false,"suffix":""}],"container-title":"International Journal of Biological Markers","id":"ITEM-1","issue":"3","issued":{"date-parts":[["2019"]]},"page":"292-301","title":"Serum levels of TIMP-1 and MMP-7 as potential biomarkers in patients with metastatic colorectal cancer","type":"article-journal","volume":"34"},"uris":["http://www.mendeley.com/documents/?uuid=aa9cf9a9-e9c5-4693-9c37-a5036ba368da","http://www.mendeley.com/documents/?uuid=f5a98b4a-f251-47da-b6cc-22ba0f314c25"]}],"mendeley":{"formattedCitation":"(Vočka &lt;i&gt;et al.&lt;/i&gt;, 2019)","plainTextFormattedCitation":"(Vočka et al., 2019)","previouslyFormattedCitation":"(Vočka &lt;i&gt;et al.&lt;/i&gt;, 2019)"},"properties":{"noteIndex":0},"schema":"https://github.com/citation-style-language/schema/raw/master/csl-citation.json"}</w:instrText>
      </w:r>
      <w:r w:rsidRPr="0028531E">
        <w:rPr>
          <w:rFonts w:ascii="Bookman Old Style" w:hAnsi="Bookman Old Style"/>
          <w:lang w:val="en-ID"/>
        </w:rPr>
        <w:fldChar w:fldCharType="separate"/>
      </w:r>
      <w:r w:rsidRPr="0028531E">
        <w:rPr>
          <w:rFonts w:ascii="Bookman Old Style" w:hAnsi="Bookman Old Style"/>
          <w:noProof/>
          <w:lang w:val="en-ID"/>
        </w:rPr>
        <w:t xml:space="preserve"> (Vočka et al., 2019)</w:t>
      </w:r>
      <w:r w:rsidRPr="0028531E">
        <w:rPr>
          <w:rFonts w:ascii="Bookman Old Style" w:hAnsi="Bookman Old Style"/>
          <w:lang w:val="en-ID"/>
        </w:rPr>
        <w:fldChar w:fldCharType="end"/>
      </w:r>
      <w:r w:rsidRPr="0028531E">
        <w:rPr>
          <w:rFonts w:ascii="Bookman Old Style" w:hAnsi="Bookman Old Style"/>
          <w:lang w:val="en-ID"/>
        </w:rPr>
        <w:t>. Meanwhile, in this study, examination of TIMP-1 levels using serum samples from colorectal cancer patients found similar results in a relationship between TIMP-1 levels with cancer and colorectal polyps (p&lt;0.001). However, TIMP-1 levels in colorectal cancer were higher than in colorectal polyps.</w:t>
      </w:r>
    </w:p>
    <w:p w14:paraId="3F9E3166" w14:textId="77777777" w:rsidR="0028531E" w:rsidRPr="0028531E" w:rsidRDefault="0028531E" w:rsidP="0028531E">
      <w:pPr>
        <w:jc w:val="both"/>
        <w:rPr>
          <w:rFonts w:ascii="Bookman Old Style" w:hAnsi="Bookman Old Style"/>
          <w:color w:val="000000"/>
          <w:shd w:val="clear" w:color="auto" w:fill="FFFFFF"/>
        </w:rPr>
      </w:pPr>
    </w:p>
    <w:p w14:paraId="32D9E03C" w14:textId="77777777" w:rsidR="0028531E" w:rsidRPr="0028531E" w:rsidRDefault="0028531E" w:rsidP="0028531E">
      <w:pPr>
        <w:jc w:val="both"/>
        <w:rPr>
          <w:rFonts w:ascii="Bookman Old Style" w:hAnsi="Bookman Old Style"/>
        </w:rPr>
      </w:pPr>
      <w:r w:rsidRPr="0028531E">
        <w:rPr>
          <w:rFonts w:ascii="Bookman Old Style" w:hAnsi="Bookman Old Style"/>
          <w:color w:val="000000"/>
          <w:shd w:val="clear" w:color="auto" w:fill="FFFFFF"/>
        </w:rPr>
        <w:t xml:space="preserve">Tissue inhibitors of matrix metalloproteinases </w:t>
      </w:r>
      <w:r w:rsidRPr="0028531E">
        <w:rPr>
          <w:rFonts w:ascii="Bookman Old Style" w:hAnsi="Bookman Old Style"/>
        </w:rPr>
        <w:t>(TIMPs) are naturally occurring matrix network metalloproteinases (MMPs) inhibitors partially regulate the proteolytic activity of MMPs, stimulate tumor growth and inhibit tumor cell apoptosis, and also act as functional regulators of malignant transformation. In addition, some literature reports that an imbalance between MMPs and TIMPs is a risk factor for tumorigenesis. Currently, there are four types of TIMPs known, namely TIMP-1, TIMP-2, TIMP-3, and TIMP-4. The main functional TIMP is TIMP-1, encoded by a gene located on chromosome Xp11.23-11.4 and mainly found in the intercellular matrix and plasma. The over-regulated expression of TIMP-1 is observed in various tumor tissues and is a significant indicator of cancer invasion, metastasis, and survival of patients with cancer</w:t>
      </w:r>
      <w:r w:rsidRPr="0028531E">
        <w:rPr>
          <w:rFonts w:ascii="Bookman Old Style" w:hAnsi="Bookman Old Style"/>
        </w:rPr>
        <w:fldChar w:fldCharType="begin" w:fldLock="1"/>
      </w:r>
      <w:r w:rsidRPr="0028531E">
        <w:rPr>
          <w:rFonts w:ascii="Bookman Old Style" w:hAnsi="Bookman Old Style"/>
        </w:rPr>
        <w:instrText>ADDIN CSL_CITATION {"citationItems":[{"id":"ITEM-1","itemData":{"DOI":"10.1371/journal.pone.0207039","ISBN":"1111111111","ISSN":"19326203","PMID":"30458003","abstract":"Purpose Tissue inhibitor of metalloproteinase-1 (TIMP-1) is a glycoprotein involved in cell survival and tumorigenesis. There have been some promising results regarding the diagnostic value of TIMP-1 for patients with colorectal cancer (CRC). The aim of the present study was to assess the diagnostic accuracy and clinical utility of serum TIMP-1 in CRC patients through meta-analysis. Methods A systematic search of online databases was performed to collect eligible studies. The pooled sensitivity, specificity, diagnostic odds ratio (DOR), and summary receiver operator characteristic (SROC) curve were generated from accuracy data using the random-effects model. Fagan’s nomogram and the likelihood matrix were applied to estimate the clinical utility of TIMP-1. Results A total of 9 eligible studies with 1886 patients were included. Among the patients, 819 were pathologically diagnosed with CRC, whereas 1067 did not have adenomas or other cancers. The overall sensitivity, specificity, and DOR of TIMP-1 for the diagnosis of CRC were 0.65 (95% confidence interval (CI): 0.57–0.72), 0.87 (95% CI: 0.76–0.94), and 12.73 (95% CI 5.71–28.38), respectively. The area under the SROC was 0.77 (95% CI, 0.73–0.81), suggesting the potential diagnostic value of TIMP-1 in CRC patients. Among patients with a pretest CRC probability of 20%, posttest probabilities were 56% and 9% for positive and negative TIMP-1 results, respectively. Conclusions TIMP-1 expression exhibits an upper moderate diagnostic value in CRC, and TIMP-1 assessment may be useful as a noninvasive screening tool for CRC in clinical practice.","author":[{"dropping-particle":"","family":"Meng","given":"Chunyan","non-dropping-particle":"","parse-names":false,"suffix":""},{"dropping-particle":"","family":"Yin","given":"Xiaowei","non-dropping-particle":"","parse-names":false,"suffix":""},{"dropping-particle":"","family":"Liu","given":"Jingting","non-dropping-particle":"","parse-names":false,"suffix":""},{"dropping-particle":"","family":"Tang","given":"Kaifeng","non-dropping-particle":"","parse-names":false,"suffix":""},{"dropping-particle":"","family":"Tang","given":"Hongchao","non-dropping-particle":"","parse-names":false,"suffix":""},{"dropping-particle":"","family":"Liao","given":"Jianhua","non-dropping-particle":"","parse-names":false,"suffix":""}],"container-title":"PLoS ONE","id":"ITEM-1","issue":"11","issued":{"date-parts":[["2018"]]},"page":"1-15","title":"TIMP-1 is a novel serum biomarker for the diagnosis of colorectal cancer: A meta-analysis","type":"article-journal","volume":"13"},"uris":["http://www.mendeley.com/documents/?uuid=450d9591-b121-49e6-8d6d-2dc0f6adc422","http://www.mendeley.com/documents/?uuid=ba6100ec-a52a-412e-bcdc-428105b4783c"]}],"mendeley":{"formattedCitation":"(Meng &lt;i&gt;et al.&lt;/i&gt;, 2018)","plainTextFormattedCitation":"(Meng et al., 2018)","previouslyFormattedCitation":"(Meng &lt;i&gt;et al.&lt;/i&gt;, 2018)"},"properties":{"noteIndex":0},"schema":"https://github.com/citation-style-language/schema/raw/master/csl-citation.json"}</w:instrText>
      </w:r>
      <w:r w:rsidRPr="0028531E">
        <w:rPr>
          <w:rFonts w:ascii="Bookman Old Style" w:hAnsi="Bookman Old Style"/>
        </w:rPr>
        <w:fldChar w:fldCharType="separate"/>
      </w:r>
      <w:r w:rsidRPr="0028531E">
        <w:rPr>
          <w:rFonts w:ascii="Bookman Old Style" w:hAnsi="Bookman Old Style"/>
          <w:noProof/>
        </w:rPr>
        <w:t xml:space="preserve"> (Meng et al., 2018)</w:t>
      </w:r>
      <w:r w:rsidRPr="0028531E">
        <w:rPr>
          <w:rFonts w:ascii="Bookman Old Style" w:hAnsi="Bookman Old Style"/>
        </w:rPr>
        <w:fldChar w:fldCharType="end"/>
      </w:r>
      <w:r w:rsidRPr="0028531E">
        <w:rPr>
          <w:rFonts w:ascii="Bookman Old Style" w:hAnsi="Bookman Old Style"/>
        </w:rPr>
        <w:t>. Many studies convincingly report that TIMP-1 can regulate apoptosis and proliferation independently of MMPs and play a role in colorectal carcinogenesis</w:t>
      </w:r>
      <w:r w:rsidRPr="0028531E">
        <w:rPr>
          <w:rFonts w:ascii="Bookman Old Style" w:hAnsi="Bookman Old Style"/>
        </w:rPr>
        <w:fldChar w:fldCharType="begin" w:fldLock="1"/>
      </w:r>
      <w:r w:rsidRPr="0028531E">
        <w:rPr>
          <w:rFonts w:ascii="Bookman Old Style" w:hAnsi="Bookman Old Style"/>
        </w:rPr>
        <w:instrText>ADDIN CSL_CITATION {"citationItems":[{"id":"ITEM-1","itemData":{"DOI":"10.1080/00365520701878163","ISBN":"0036552070","ISSN":"00365521","PMID":"18584515","abstract":"Colorectal cancer (CRC) is the second leading cause of cancer-related death in the industrialized world. About half of \"curatively\" resected patients develop recurrent disease within the next 3-5 years despite the lack of clinical, histological and biochemical evidence of remaining overt disease after resection of the primary tumour. Availability of validated biological markers for early detection, selection for adjuvant therapy, prediction of treatment efficacy and monitoring of treatment efficacy would most probably increase survival. Tissue inhibitor of metalloproteinases-1 (TIMP-1) may be such a marker. TIMP-1 inhibits the proteolytic activity of metalloproteinases, which are centrally involved in tumour invasion and metastases. However, in clinical investigations high tumour tissue or plasma levels of TIMP-1 have shown a strong and independent association with a shorter survival time in CRC patients, suggesting that TIMP-1 could have a tumour-promoting function. Furthermore, measurement of plasma TIMP-1 has been shown to be useful for disease detection, with a high sensitivity and high specificity for early-stage colon cancer. This review describes some basic information on the current knowledge of the biology of TIMP-1 as well as the potential use of TIMP-1 as a biological marker in the management of CRC patients. © 2008 Taylor &amp; Francis.","author":[{"dropping-particle":"","family":"Møller Sørensen","given":"Nanna","non-dropping-particle":"","parse-names":false,"suffix":""},{"dropping-particle":"","family":"Vejgaard Sørensen","given":"Irene","non-dropping-particle":"","parse-names":false,"suffix":""},{"dropping-particle":"","family":"Ørnbjerg Wurtz","given":"Sidse","non-dropping-particle":"","parse-names":false,"suffix":""},{"dropping-particle":"","family":"Schrohl","given":"Anne Sofie","non-dropping-particle":"","parse-names":false,"suffix":""},{"dropping-particle":"","family":"Dowell","given":"Barry","non-dropping-particle":"","parse-names":false,"suffix":""},{"dropping-particle":"","family":"Davis","given":"Gerard","non-dropping-particle":"","parse-names":false,"suffix":""},{"dropping-particle":"","family":"Jarle Christensen","given":"Ib","non-dropping-particle":"","parse-names":false,"suffix":""},{"dropping-particle":"","family":"Jørgen Nielsen","given":"Hans","non-dropping-particle":"","parse-names":false,"suffix":""},{"dropping-particle":"","family":"Brünner","given":"Nils","non-dropping-particle":"","parse-names":false,"suffix":""}],"container-title":"Scandinavian Journal of Gastroenterology","id":"ITEM-1","issue":"7","issued":{"date-parts":[["2008"]]},"page":"774-786","title":"Biology and potential clinical implications of tissue inhibitor of metalloproteinases-1 in colorectal cancer treatment","type":"article-journal","volume":"43"},"uris":["http://www.mendeley.com/documents/?uuid=354fe059-361b-4cba-8875-ba90abc27a28","http://www.mendeley.com/documents/?uuid=f5b7abe2-7ffc-4fcd-a925-6af93cb12d2d"]}],"mendeley":{"formattedCitation":"(Møller Sørensen &lt;i&gt;et al.&lt;/i&gt;, 2008)","plainTextFormattedCitation":"(Møller Sørensen et al., 2008)","previouslyFormattedCitation":"(Møller Sørensen &lt;i&gt;et al.&lt;/i&gt;, 2008)"},"properties":{"noteIndex":0},"schema":"https://github.com/citation-style-language/schema/raw/master/csl-citation.json"}</w:instrText>
      </w:r>
      <w:r w:rsidRPr="0028531E">
        <w:rPr>
          <w:rFonts w:ascii="Bookman Old Style" w:hAnsi="Bookman Old Style"/>
        </w:rPr>
        <w:fldChar w:fldCharType="separate"/>
      </w:r>
      <w:r w:rsidRPr="0028531E">
        <w:rPr>
          <w:rFonts w:ascii="Bookman Old Style" w:hAnsi="Bookman Old Style"/>
          <w:noProof/>
        </w:rPr>
        <w:t xml:space="preserve"> (Møller Sørensen et al., 2008)</w:t>
      </w:r>
      <w:r w:rsidRPr="0028531E">
        <w:rPr>
          <w:rFonts w:ascii="Bookman Old Style" w:hAnsi="Bookman Old Style"/>
        </w:rPr>
        <w:fldChar w:fldCharType="end"/>
      </w:r>
      <w:r w:rsidRPr="0028531E">
        <w:rPr>
          <w:rFonts w:ascii="Bookman Old Style" w:hAnsi="Bookman Old Style"/>
        </w:rPr>
        <w:t xml:space="preserve">. In particular, many studies have shown that TIMP-1 can be used as a biomarker for prognosis in CRC patients and as a diagnostic </w:t>
      </w:r>
      <w:r w:rsidRPr="0028531E">
        <w:rPr>
          <w:rFonts w:ascii="Bookman Old Style" w:hAnsi="Bookman Old Style"/>
        </w:rPr>
        <w:lastRenderedPageBreak/>
        <w:t>marker for detecting CRC.</w:t>
      </w:r>
      <w:r w:rsidRPr="0028531E">
        <w:rPr>
          <w:rFonts w:ascii="Bookman Old Style" w:hAnsi="Bookman Old Style"/>
        </w:rPr>
        <w:fldChar w:fldCharType="begin" w:fldLock="1"/>
      </w:r>
      <w:r w:rsidRPr="0028531E">
        <w:rPr>
          <w:rFonts w:ascii="Bookman Old Style" w:hAnsi="Bookman Old Style"/>
        </w:rPr>
        <w:instrText>ADDIN CSL_CITATION {"citationItems":[{"id":"ITEM-1","itemData":{"DOI":"10.5114/pjp.2014.48191","ISSN":"12339687","PMID":"25693084","abstract":"Tissue inhibitor of metalloproteinase-1 (TIMP-1) inhibits the ability of cancer cells to metastasize, but it can also stimulate cancer development. The aim of this study was to assess the level of TIMP-1 in serum and its expression in patients with colorectal cancer (CRC).\nThe study group consisted of 43 patients diagnosed with colorectal cancer and 24 healthy volunteers. The level of TIMP-1 was assessed by the ELISA method while the expression of this protein was performed immunohistochemically.\nThe concentration of TIMP-1 in the sera of colorectal cancer patients was significantly higher than in the healthy control group (p = 0.004). Higher level of TIMP-1 in the sera correlated with female gender (p = 0.045), tumor location in colon (p = 0.016), poorly differentiated tumor (p = 0.034) and higher platelet count in whole blood (p &lt; 0.004). A positive reaction of the protein in cancer cells was observed in 31 cases and was found to correlate negatively with its reaction in peritumoral stroma (p &lt; 0.001).\nAccording to this study, TIMP-1 protein may play an important role in cancer development. The assessment of this molecule in serum and tissue can be useful at the time of diagnosis and can help us to understand the nature of colorectal pathogenesis.","author":[{"dropping-particle":"","family":"Niewiarowska","given":"Katarzyna","non-dropping-particle":"","parse-names":false,"suffix":""},{"dropping-particle":"","family":"Pryczynicz","given":"Anna","non-dropping-particle":"","parse-names":false,"suffix":""},{"dropping-particle":"","family":"Dymicka-Piekarska","given":"Violetta","non-dropping-particle":"","parse-names":false,"suffix":""},{"dropping-particle":"","family":"Gryko","given":"Mariusz","non-dropping-particle":"","parse-names":false,"suffix":""},{"dropping-particle":"","family":"Cepowicz","given":"Dariusz","non-dropping-particle":"","parse-names":false,"suffix":""},{"dropping-particle":"","family":"Famulski","given":"Waldemar","non-dropping-particle":"","parse-names":false,"suffix":""},{"dropping-particle":"","family":"Kemona","given":"Andrzej","non-dropping-particle":"","parse-names":false,"suffix":""},{"dropping-particle":"","family":"Guzińska-Ustymowicz","given":"Katarzyna","non-dropping-particle":"","parse-names":false,"suffix":""}],"container-title":"Polish Journal of Pathology","id":"ITEM-1","issue":"4","issued":{"date-parts":[["2014"]]},"page":"296-304","title":"Diagnostic significance of TIMP-1 level in serum and its imm unohistochemical expression in colorectal cancer patients","type":"article-journal","volume":"65"},"uris":["http://www.mendeley.com/documents/?uuid=734a3f4f-3f42-48b1-a5b3-0ea4e31621f5","http://www.mendeley.com/documents/?uuid=174563aa-a811-4f8b-8d7f-1c8821b6b421"]}],"mendeley":{"formattedCitation":"(Niewiarowska &lt;i&gt;et al.&lt;/i&gt;, 2014)","plainTextFormattedCitation":"(Niewiarowska et al., 2014)","previouslyFormattedCitation":"(Niewiarowska &lt;i&gt;et al.&lt;/i&gt;, 2014)"},"properties":{"noteIndex":0},"schema":"https://github.com/citation-style-language/schema/raw/master/csl-citation.json"}</w:instrText>
      </w:r>
      <w:r w:rsidRPr="0028531E">
        <w:rPr>
          <w:rFonts w:ascii="Bookman Old Style" w:hAnsi="Bookman Old Style"/>
        </w:rPr>
        <w:fldChar w:fldCharType="separate"/>
      </w:r>
      <w:r w:rsidRPr="0028531E">
        <w:rPr>
          <w:rFonts w:ascii="Bookman Old Style" w:hAnsi="Bookman Old Style"/>
          <w:noProof/>
        </w:rPr>
        <w:t>(Niewiarowska et al., 2014)</w:t>
      </w:r>
      <w:r w:rsidRPr="0028531E">
        <w:rPr>
          <w:rFonts w:ascii="Bookman Old Style" w:hAnsi="Bookman Old Style"/>
        </w:rPr>
        <w:fldChar w:fldCharType="end"/>
      </w:r>
      <w:r w:rsidRPr="0028531E">
        <w:rPr>
          <w:rFonts w:ascii="Bookman Old Style" w:hAnsi="Bookman Old Style"/>
        </w:rPr>
        <w:t xml:space="preserve">. The above conditions are in line with the findings of this </w:t>
      </w:r>
      <w:proofErr w:type="gramStart"/>
      <w:r w:rsidRPr="0028531E">
        <w:rPr>
          <w:rFonts w:ascii="Bookman Old Style" w:hAnsi="Bookman Old Style"/>
        </w:rPr>
        <w:t>study,  TIMP</w:t>
      </w:r>
      <w:proofErr w:type="gramEnd"/>
      <w:r w:rsidRPr="0028531E">
        <w:rPr>
          <w:rFonts w:ascii="Bookman Old Style" w:hAnsi="Bookman Old Style"/>
        </w:rPr>
        <w:t>-1 value above 66.50 has a sensitivity of 80.8% and a specificity of 77.8%. The TIMP-1 value above 66.50 in this study also indicates a 14.70 times greater chance of becoming a CRC.</w:t>
      </w:r>
    </w:p>
    <w:p w14:paraId="6B7C30E4" w14:textId="77777777" w:rsidR="0028531E" w:rsidRPr="0028531E" w:rsidRDefault="0028531E" w:rsidP="0028531E">
      <w:pPr>
        <w:jc w:val="both"/>
        <w:rPr>
          <w:rFonts w:ascii="Bookman Old Style" w:hAnsi="Bookman Old Style"/>
        </w:rPr>
      </w:pPr>
    </w:p>
    <w:p w14:paraId="166C8587" w14:textId="77777777" w:rsidR="0028531E" w:rsidRPr="0028531E" w:rsidRDefault="0028531E" w:rsidP="0028531E">
      <w:pPr>
        <w:jc w:val="both"/>
        <w:rPr>
          <w:rFonts w:ascii="Bookman Old Style" w:hAnsi="Bookman Old Style"/>
        </w:rPr>
      </w:pPr>
      <w:r w:rsidRPr="0028531E">
        <w:rPr>
          <w:rFonts w:ascii="Bookman Old Style" w:hAnsi="Bookman Old Style"/>
        </w:rPr>
        <w:t>According to previous studies, plasma TIMP-1 was equally efficient in detecting left and right-sided colonic adenocarcinoma. More importantly, TIMP-1 can detect early-stage colon cancer with sensitivity and specificity comparable to those obtained when detecting advanced cancers</w:t>
      </w:r>
      <w:r w:rsidRPr="0028531E">
        <w:rPr>
          <w:rFonts w:ascii="Bookman Old Style" w:hAnsi="Bookman Old Style"/>
        </w:rPr>
        <w:fldChar w:fldCharType="begin" w:fldLock="1"/>
      </w:r>
      <w:r w:rsidRPr="0028531E">
        <w:rPr>
          <w:rFonts w:ascii="Bookman Old Style" w:hAnsi="Bookman Old Style"/>
        </w:rPr>
        <w:instrText>ADDIN CSL_CITATION {"citationItems":[{"id":"ITEM-1","itemData":{"DOI":"10.1080/00365520701878163","ISBN":"0036552070","ISSN":"00365521","PMID":"18584515","abstract":"Colorectal cancer (CRC) is the second leading cause of cancer-related death in the industrialized world. About half of \"curatively\" resected patients develop recurrent disease within the next 3-5 years despite the lack of clinical, histological and biochemical evidence of remaining overt disease after resection of the primary tumour. Availability of validated biological markers for early detection, selection for adjuvant therapy, prediction of treatment efficacy and monitoring of treatment efficacy would most probably increase survival. Tissue inhibitor of metalloproteinases-1 (TIMP-1) may be such a marker. TIMP-1 inhibits the proteolytic activity of metalloproteinases, which are centrally involved in tumour invasion and metastases. However, in clinical investigations high tumour tissue or plasma levels of TIMP-1 have shown a strong and independent association with a shorter survival time in CRC patients, suggesting that TIMP-1 could have a tumour-promoting function. Furthermore, measurement of plasma TIMP-1 has been shown to be useful for disease detection, with a high sensitivity and high specificity for early-stage colon cancer. This review describes some basic information on the current knowledge of the biology of TIMP-1 as well as the potential use of TIMP-1 as a biological marker in the management of CRC patients. © 2008 Taylor &amp; Francis.","author":[{"dropping-particle":"","family":"Møller Sørensen","given":"Nanna","non-dropping-particle":"","parse-names":false,"suffix":""},{"dropping-particle":"","family":"Vejgaard Sørensen","given":"Irene","non-dropping-particle":"","parse-names":false,"suffix":""},{"dropping-particle":"","family":"Ørnbjerg Wurtz","given":"Sidse","non-dropping-particle":"","parse-names":false,"suffix":""},{"dropping-particle":"","family":"Schrohl","given":"Anne Sofie","non-dropping-particle":"","parse-names":false,"suffix":""},{"dropping-particle":"","family":"Dowell","given":"Barry","non-dropping-particle":"","parse-names":false,"suffix":""},{"dropping-particle":"","family":"Davis","given":"Gerard","non-dropping-particle":"","parse-names":false,"suffix":""},{"dropping-particle":"","family":"Jarle Christensen","given":"Ib","non-dropping-particle":"","parse-names":false,"suffix":""},{"dropping-particle":"","family":"Jørgen Nielsen","given":"Hans","non-dropping-particle":"","parse-names":false,"suffix":""},{"dropping-particle":"","family":"Brünner","given":"Nils","non-dropping-particle":"","parse-names":false,"suffix":""}],"container-title":"Scandinavian Journal of Gastroenterology","id":"ITEM-1","issue":"7","issued":{"date-parts":[["2008"]]},"page":"774-786","title":"Biology and potential clinical implications of tissue inhibitor of metalloproteinases-1 in colorectal cancer treatment","type":"article-journal","volume":"43"},"uris":["http://www.mendeley.com/documents/?uuid=f5b7abe2-7ffc-4fcd-a925-6af93cb12d2d","http://www.mendeley.com/documents/?uuid=354fe059-361b-4cba-8875-ba90abc27a28"]}],"mendeley":{"formattedCitation":"(Møller Sørensen &lt;i&gt;et al.&lt;/i&gt;, 2008)","plainTextFormattedCitation":"(Møller Sørensen et al., 2008)","previouslyFormattedCitation":"(Møller Sørensen &lt;i&gt;et al.&lt;/i&gt;, 2008)"},"properties":{"noteIndex":0},"schema":"https://github.com/citation-style-language/schema/raw/master/csl-citation.json"}</w:instrText>
      </w:r>
      <w:r w:rsidRPr="0028531E">
        <w:rPr>
          <w:rFonts w:ascii="Bookman Old Style" w:hAnsi="Bookman Old Style"/>
        </w:rPr>
        <w:fldChar w:fldCharType="separate"/>
      </w:r>
      <w:r w:rsidRPr="0028531E">
        <w:rPr>
          <w:rFonts w:ascii="Bookman Old Style" w:hAnsi="Bookman Old Style"/>
          <w:noProof/>
        </w:rPr>
        <w:t xml:space="preserve"> (Møller Sørensen et al., 2008)</w:t>
      </w:r>
      <w:r w:rsidRPr="0028531E">
        <w:rPr>
          <w:rFonts w:ascii="Bookman Old Style" w:hAnsi="Bookman Old Style"/>
        </w:rPr>
        <w:fldChar w:fldCharType="end"/>
      </w:r>
      <w:r w:rsidRPr="0028531E">
        <w:rPr>
          <w:rFonts w:ascii="Bookman Old Style" w:hAnsi="Bookman Old Style"/>
        </w:rPr>
        <w:t>. Another study analyzing total TIMP-1 levels in 210 individuals scheduled for endoscopy showed an association between CRC and plasma TIMP-1. At endoscopy, it was found that 30 patients had colon cancer, and an ELISA of plasma obtained before endoscopy was performed. The results showed that TIMP-1 plasma could detect these 30 colon cancer patients with a sensitivity of 60% with a specificity of 98%</w:t>
      </w:r>
      <w:r w:rsidRPr="0028531E">
        <w:rPr>
          <w:rFonts w:ascii="Bookman Old Style" w:hAnsi="Bookman Old Style"/>
        </w:rPr>
        <w:fldChar w:fldCharType="begin" w:fldLock="1"/>
      </w:r>
      <w:r w:rsidRPr="0028531E">
        <w:rPr>
          <w:rFonts w:ascii="Bookman Old Style" w:hAnsi="Bookman Old Style"/>
        </w:rPr>
        <w:instrText>ADDIN CSL_CITATION {"citationItems":[{"id":"ITEM-1","itemData":{"author":[{"dropping-particle":"","family":"Waas","given":"ET","non-dropping-particle":"","parse-names":false,"suffix":""},{"dropping-particle":"","family":"Hendriks","given":"T","non-dropping-particle":"","parse-names":false,"suffix":""},{"dropping-particle":"","family":"Lomme","given":"RM","non-dropping-particle":"","parse-names":false,"suffix":""},{"dropping-particle":"","family":"T.","given":"Wobbes","non-dropping-particle":"","parse-names":false,"suffix":""}],"container-title":"Dis Colon Rectum","id":"ITEM-1","issued":{"date-parts":[["2005"]]},"page":"700-10","title":"Plasma levels of matrix metalloproteinase-2 and tissue inhibitor of metalloproteinase-1 correlate with disease stage and survival in colorectal cancer patients.","type":"article-journal","volume":"48"},"uris":["http://www.mendeley.com/documents/?uuid=36e418fb-f166-4aad-a930-4b18ab90da11","http://www.mendeley.com/documents/?uuid=c30f5c85-4ae6-4973-988e-27c5f98bc906"]}],"mendeley":{"formattedCitation":"(Waas &lt;i&gt;et al.&lt;/i&gt;, 2005)","plainTextFormattedCitation":"(Waas et al., 2005)","previouslyFormattedCitation":"(Waas &lt;i&gt;et al.&lt;/i&gt;, 2005)"},"properties":{"noteIndex":0},"schema":"https://github.com/citation-style-language/schema/raw/master/csl-citation.json"}</w:instrText>
      </w:r>
      <w:r w:rsidRPr="0028531E">
        <w:rPr>
          <w:rFonts w:ascii="Bookman Old Style" w:hAnsi="Bookman Old Style"/>
        </w:rPr>
        <w:fldChar w:fldCharType="separate"/>
      </w:r>
      <w:r w:rsidRPr="0028531E">
        <w:rPr>
          <w:rFonts w:ascii="Bookman Old Style" w:hAnsi="Bookman Old Style"/>
          <w:noProof/>
        </w:rPr>
        <w:t xml:space="preserve"> (Waas et al., 2005)</w:t>
      </w:r>
      <w:r w:rsidRPr="0028531E">
        <w:rPr>
          <w:rFonts w:ascii="Bookman Old Style" w:hAnsi="Bookman Old Style"/>
        </w:rPr>
        <w:fldChar w:fldCharType="end"/>
      </w:r>
      <w:r w:rsidRPr="0028531E">
        <w:rPr>
          <w:rFonts w:ascii="Bookman Old Style" w:hAnsi="Bookman Old Style"/>
        </w:rPr>
        <w:t xml:space="preserve">. Another study demonstrated a relatively specific role of TIMP-1 in predicting CRC, with a sensitivity of 0.65 and a specificity of 0.87. </w:t>
      </w:r>
      <w:proofErr w:type="spellStart"/>
      <w:r w:rsidRPr="0028531E">
        <w:rPr>
          <w:rFonts w:ascii="Bookman Old Style" w:hAnsi="Bookman Old Style"/>
        </w:rPr>
        <w:t>Estimation</w:t>
      </w:r>
      <w:r w:rsidRPr="0028531E">
        <w:rPr>
          <w:rFonts w:ascii="Bookman Old Style" w:hAnsi="Bookman Old Style"/>
          <w:color w:val="000000"/>
          <w:shd w:val="clear" w:color="auto" w:fill="FFFFFF"/>
        </w:rPr>
        <w:t>diagnostic</w:t>
      </w:r>
      <w:proofErr w:type="spellEnd"/>
      <w:r w:rsidRPr="0028531E">
        <w:rPr>
          <w:rFonts w:ascii="Bookman Old Style" w:hAnsi="Bookman Old Style"/>
          <w:color w:val="000000"/>
          <w:shd w:val="clear" w:color="auto" w:fill="FFFFFF"/>
        </w:rPr>
        <w:t xml:space="preserve"> odds ratio (</w:t>
      </w:r>
      <w:r w:rsidRPr="0028531E">
        <w:rPr>
          <w:rFonts w:ascii="Bookman Old Style" w:hAnsi="Bookman Old Style"/>
        </w:rPr>
        <w:t>DOR) showed superior diagnostic accuracy for diagnosing CRC, with a score of 12.73. Next, the results</w:t>
      </w:r>
      <w:r w:rsidRPr="0028531E">
        <w:rPr>
          <w:rFonts w:ascii="Bookman Old Style" w:hAnsi="Bookman Old Style"/>
          <w:color w:val="000000"/>
          <w:shd w:val="clear" w:color="auto" w:fill="FFFFFF"/>
        </w:rPr>
        <w:t xml:space="preserve"> summary receiver operator characteristics (</w:t>
      </w:r>
      <w:r w:rsidRPr="0028531E">
        <w:rPr>
          <w:rFonts w:ascii="Bookman Old Style" w:hAnsi="Bookman Old Style"/>
        </w:rPr>
        <w:t>SROC) showed that TIMP-1 produced an AUC of 0.77, indicating that the efficiency of TIMP-1 for the diagnosis of CRC is quite large. TIMP-1 also performed well in clinical utility when the likelihood ratio was used to simulate clinical scenarios</w:t>
      </w:r>
      <w:r w:rsidRPr="0028531E">
        <w:rPr>
          <w:rFonts w:ascii="Bookman Old Style" w:hAnsi="Bookman Old Style"/>
        </w:rPr>
        <w:fldChar w:fldCharType="begin" w:fldLock="1"/>
      </w:r>
      <w:r w:rsidRPr="0028531E">
        <w:rPr>
          <w:rFonts w:ascii="Bookman Old Style" w:hAnsi="Bookman Old Style"/>
        </w:rPr>
        <w:instrText>ADDIN CSL_CITATION {"citationItems":[{"id":"ITEM-1","itemData":{"DOI":"10.1371/journal.pone.0207039","ISBN":"1111111111","ISSN":"19326203","PMID":"30458003","abstract":"Purpose Tissue inhibitor of metalloproteinase-1 (TIMP-1) is a glycoprotein involved in cell survival and tumorigenesis. There have been some promising results regarding the diagnostic value of TIMP-1 for patients with colorectal cancer (CRC). The aim of the present study was to assess the diagnostic accuracy and clinical utility of serum TIMP-1 in CRC patients through meta-analysis. Methods A systematic search of online databases was performed to collect eligible studies. The pooled sensitivity, specificity, diagnostic odds ratio (DOR), and summary receiver operator characteristic (SROC) curve were generated from accuracy data using the random-effects model. Fagan’s nomogram and the likelihood matrix were applied to estimate the clinical utility of TIMP-1. Results A total of 9 eligible studies with 1886 patients were included. Among the patients, 819 were pathologically diagnosed with CRC, whereas 1067 did not have adenomas or other cancers. The overall sensitivity, specificity, and DOR of TIMP-1 for the diagnosis of CRC were 0.65 (95% confidence interval (CI): 0.57–0.72), 0.87 (95% CI: 0.76–0.94), and 12.73 (95% CI 5.71–28.38), respectively. The area under the SROC was 0.77 (95% CI, 0.73–0.81), suggesting the potential diagnostic value of TIMP-1 in CRC patients. Among patients with a pretest CRC probability of 20%, posttest probabilities were 56% and 9% for positive and negative TIMP-1 results, respectively. Conclusions TIMP-1 expression exhibits an upper moderate diagnostic value in CRC, and TIMP-1 assessment may be useful as a noninvasive screening tool for CRC in clinical practice.","author":[{"dropping-particle":"","family":"Meng","given":"Chunyan","non-dropping-particle":"","parse-names":false,"suffix":""},{"dropping-particle":"","family":"Yin","given":"Xiaowei","non-dropping-particle":"","parse-names":false,"suffix":""},{"dropping-particle":"","family":"Liu","given":"Jingting","non-dropping-particle":"","parse-names":false,"suffix":""},{"dropping-particle":"","family":"Tang","given":"Kaifeng","non-dropping-particle":"","parse-names":false,"suffix":""},{"dropping-particle":"","family":"Tang","given":"Hongchao","non-dropping-particle":"","parse-names":false,"suffix":""},{"dropping-particle":"","family":"Liao","given":"Jianhua","non-dropping-particle":"","parse-names":false,"suffix":""}],"container-title":"PLoS ONE","id":"ITEM-1","issue":"11","issued":{"date-parts":[["2018"]]},"page":"1-15","title":"TIMP-1 is a novel serum biomarker for the diagnosis of colorectal cancer: A meta-analysis","type":"article-journal","volume":"13"},"uris":["http://www.mendeley.com/documents/?uuid=ba6100ec-a52a-412e-bcdc-428105b4783c","http://www.mendeley.com/documents/?uuid=450d9591-b121-49e6-8d6d-2dc0f6adc422"]}],"mendeley":{"formattedCitation":"(Meng &lt;i&gt;et al.&lt;/i&gt;, 2018)","plainTextFormattedCitation":"(Meng et al., 2018)","previouslyFormattedCitation":"(Meng &lt;i&gt;et al.&lt;/i&gt;, 2018)"},"properties":{"noteIndex":0},"schema":"https://github.com/citation-style-language/schema/raw/master/csl-citation.json"}</w:instrText>
      </w:r>
      <w:r w:rsidRPr="0028531E">
        <w:rPr>
          <w:rFonts w:ascii="Bookman Old Style" w:hAnsi="Bookman Old Style"/>
        </w:rPr>
        <w:fldChar w:fldCharType="separate"/>
      </w:r>
      <w:r w:rsidRPr="0028531E">
        <w:rPr>
          <w:rFonts w:ascii="Bookman Old Style" w:hAnsi="Bookman Old Style"/>
          <w:noProof/>
        </w:rPr>
        <w:t xml:space="preserve"> (Meng et al., 2018)</w:t>
      </w:r>
      <w:r w:rsidRPr="0028531E">
        <w:rPr>
          <w:rFonts w:ascii="Bookman Old Style" w:hAnsi="Bookman Old Style"/>
        </w:rPr>
        <w:fldChar w:fldCharType="end"/>
      </w:r>
      <w:r w:rsidRPr="0028531E">
        <w:rPr>
          <w:rFonts w:ascii="Bookman Old Style" w:hAnsi="Bookman Old Style"/>
        </w:rPr>
        <w:t>.</w:t>
      </w:r>
    </w:p>
    <w:p w14:paraId="5C4B58B1" w14:textId="77777777" w:rsidR="0028531E" w:rsidRPr="0028531E" w:rsidRDefault="0028531E" w:rsidP="0028531E">
      <w:pPr>
        <w:jc w:val="both"/>
        <w:rPr>
          <w:rFonts w:ascii="Bookman Old Style" w:hAnsi="Bookman Old Style"/>
        </w:rPr>
      </w:pPr>
    </w:p>
    <w:p w14:paraId="51967789" w14:textId="77777777" w:rsidR="0028531E" w:rsidRPr="0028531E" w:rsidRDefault="0028531E" w:rsidP="0028531E">
      <w:pPr>
        <w:jc w:val="both"/>
        <w:rPr>
          <w:rFonts w:ascii="Bookman Old Style" w:hAnsi="Bookman Old Style"/>
        </w:rPr>
      </w:pPr>
      <w:r w:rsidRPr="0028531E">
        <w:rPr>
          <w:rFonts w:ascii="Bookman Old Style" w:hAnsi="Bookman Old Style"/>
        </w:rPr>
        <w:t>TIMP-1 serum level can also be a prognostic factor in colorectal cancer patients. A study by Vodka (2019) showed that an increase in serum TIMP-1 in colorectal cancer patients significantly worsened the prognosis of colorectal cancer. This study showed that an increase in TIMP-1 was associated with a decrease in median overall survival (MOS) compared with patients with low serum TIMP-1 levels (</w:t>
      </w:r>
      <w:proofErr w:type="spellStart"/>
      <w:r w:rsidRPr="0028531E">
        <w:rPr>
          <w:rFonts w:ascii="Bookman Old Style" w:hAnsi="Bookman Old Style"/>
        </w:rPr>
        <w:t>mOS</w:t>
      </w:r>
      <w:proofErr w:type="spellEnd"/>
      <w:r w:rsidRPr="0028531E">
        <w:rPr>
          <w:rFonts w:ascii="Bookman Old Style" w:hAnsi="Bookman Old Style"/>
        </w:rPr>
        <w:t xml:space="preserve"> 4.4 months; P &lt; 0.001).</w:t>
      </w:r>
      <w:r w:rsidRPr="0028531E">
        <w:rPr>
          <w:rFonts w:ascii="Bookman Old Style" w:hAnsi="Bookman Old Style"/>
        </w:rPr>
        <w:fldChar w:fldCharType="begin" w:fldLock="1"/>
      </w:r>
      <w:r w:rsidRPr="0028531E">
        <w:rPr>
          <w:rFonts w:ascii="Bookman Old Style" w:hAnsi="Bookman Old Style"/>
        </w:rPr>
        <w:instrText>ADDIN CSL_CITATION {"citationItems":[{"id":"ITEM-1","itemData":{"DOI":"10.1177/1724600819866202","ISSN":"17246008","PMID":"31578137","abstract":"Objective: Tissue inhibitor of metalloproteinases 1 (TIMP-1) and matrix metalloproteinase 7 (MMP-7) were reported to have potent growth promoting activity. Lack of balance between MMPs and TIMPs is an important factor in the development of gastrointestinal malignancies. Methods: We collected serum samples from 97 patients with metastatic colorectal cancer and 79 samples from healthy controls. Serum levels of TIMP-1 and MMP-7 were measured immunochemically and compared with standard tumor markers carcinoembryonic antigen and CA19-9. Results: Serum levels of TIMP-1 and MMP-7 were significantly higher in patients with colorectal cancer compared to healthy controls (both, P &lt; 0.001). TIMP-1 and MMP-7 correlate with the presence of colon involvement (P = 0.001; P = 0.012) and the presence of liver metastases (P = 0.002; P = 0.037), and negatively correlate with pulmonary metastases (P = 0.014; P = 0.005). MMP-7 had similar sensitivity and the same specificity as carcinoembryonic antigen. TIMP-1 and MMP-7 had better sensitivity than CA19-9. TIMP-1 and MMP-7 level correlate with worse outcome (P = 0.002). Conclusion: The results indicate that TIMP-1 and MMP-7 are effective biomarkers in patients with metastatic colorectal cancer with good sensitivity. TIMP-1 and MMP-7 levels strongly correlate with the extent of liver disease and have prognostic value.","author":[{"dropping-particle":"","family":"Vočka","given":"Michal","non-dropping-particle":"","parse-names":false,"suffix":""},{"dropping-particle":"","family":"Langer","given":"Daniel","non-dropping-particle":"","parse-names":false,"suffix":""},{"dropping-particle":"","family":"Fryba","given":"Vladimir","non-dropping-particle":"","parse-names":false,"suffix":""},{"dropping-particle":"","family":"Petrtyl","given":"Jaromir","non-dropping-particle":"","parse-names":false,"suffix":""},{"dropping-particle":"","family":"Hanus","given":"Tomas","non-dropping-particle":"","parse-names":false,"suffix":""},{"dropping-particle":"","family":"Kalousova","given":"Marta","non-dropping-particle":"","parse-names":false,"suffix":""},{"dropping-particle":"","family":"Zima","given":"Tomas","non-dropping-particle":"","parse-names":false,"suffix":""},{"dropping-particle":"","family":"Petruzelka","given":"Lubos","non-dropping-particle":"","parse-names":false,"suffix":""}],"container-title":"International Journal of Biological Markers","id":"ITEM-1","issue":"3","issued":{"date-parts":[["2019"]]},"page":"292-301","title":"Serum levels of TIMP-1 and MMP-7 as potential biomarkers in patients with metastatic colorectal cancer","type":"article-journal","volume":"34"},"uris":["http://www.mendeley.com/documents/?uuid=f5a98b4a-f251-47da-b6cc-22ba0f314c25","http://www.mendeley.com/documents/?uuid=aa9cf9a9-e9c5-4693-9c37-a5036ba368da"]}],"mendeley":{"formattedCitation":"(Vočka &lt;i&gt;et al.&lt;/i&gt;, 2019)","plainTextFormattedCitation":"(Vočka et al., 2019)","previouslyFormattedCitation":"(Vočka &lt;i&gt;et al.&lt;/i&gt;, 2019)"},"properties":{"noteIndex":0},"schema":"https://github.com/citation-style-language/schema/raw/master/csl-citation.json"}</w:instrText>
      </w:r>
      <w:r w:rsidRPr="0028531E">
        <w:rPr>
          <w:rFonts w:ascii="Bookman Old Style" w:hAnsi="Bookman Old Style"/>
        </w:rPr>
        <w:fldChar w:fldCharType="separate"/>
      </w:r>
      <w:r w:rsidRPr="0028531E">
        <w:rPr>
          <w:rFonts w:ascii="Bookman Old Style" w:hAnsi="Bookman Old Style"/>
          <w:noProof/>
        </w:rPr>
        <w:t>(Vočka et al., 2019)</w:t>
      </w:r>
      <w:r w:rsidRPr="0028531E">
        <w:rPr>
          <w:rFonts w:ascii="Bookman Old Style" w:hAnsi="Bookman Old Style"/>
        </w:rPr>
        <w:fldChar w:fldCharType="end"/>
      </w:r>
      <w:r w:rsidRPr="0028531E">
        <w:rPr>
          <w:rFonts w:ascii="Bookman Old Style" w:hAnsi="Bookman Old Style"/>
        </w:rPr>
        <w:t>. It was also revealed that decreased survivability was associated with higher metastasis rates in patients with increased TIMP-1 expression.</w:t>
      </w:r>
    </w:p>
    <w:p w14:paraId="14749891" w14:textId="77777777" w:rsidR="0028531E" w:rsidRPr="0028531E" w:rsidRDefault="0028531E" w:rsidP="0028531E">
      <w:pPr>
        <w:jc w:val="both"/>
        <w:rPr>
          <w:rFonts w:ascii="Bookman Old Style" w:eastAsia="TimesNewRomanPSMT" w:hAnsi="Bookman Old Style"/>
        </w:rPr>
      </w:pPr>
    </w:p>
    <w:p w14:paraId="580DA553" w14:textId="77777777" w:rsidR="0028531E" w:rsidRPr="0028531E" w:rsidRDefault="0028531E" w:rsidP="0028531E">
      <w:pPr>
        <w:jc w:val="both"/>
        <w:rPr>
          <w:rFonts w:ascii="Bookman Old Style" w:hAnsi="Bookman Old Style"/>
        </w:rPr>
      </w:pPr>
      <w:r w:rsidRPr="0028531E">
        <w:rPr>
          <w:rFonts w:ascii="Bookman Old Style" w:eastAsia="TimesNewRomanPSMT" w:hAnsi="Bookman Old Style"/>
        </w:rPr>
        <w:t xml:space="preserve">Early diagnosis is also very important in patients with distant metastases previously treated for non-metastatic cancer to determine the possibility of radical resection. The study by </w:t>
      </w:r>
      <w:proofErr w:type="spellStart"/>
      <w:r w:rsidRPr="0028531E">
        <w:rPr>
          <w:rFonts w:ascii="Bookman Old Style" w:eastAsia="TimesNewRomanPSMT" w:hAnsi="Bookman Old Style"/>
        </w:rPr>
        <w:t>Holten</w:t>
      </w:r>
      <w:proofErr w:type="spellEnd"/>
      <w:r w:rsidRPr="0028531E">
        <w:rPr>
          <w:rFonts w:ascii="Bookman Old Style" w:eastAsia="TimesNewRomanPSMT" w:hAnsi="Bookman Old Style"/>
        </w:rPr>
        <w:t xml:space="preserve">-Andersen (2006) showed a correlation between pre-and postoperative plasma TIMP-1 levels with poor prognosis in patients with </w:t>
      </w:r>
      <w:proofErr w:type="spellStart"/>
      <w:r w:rsidRPr="0028531E">
        <w:rPr>
          <w:rFonts w:ascii="Bookman Old Style" w:eastAsia="TimesNewRomanPSMT" w:hAnsi="Bookman Old Style"/>
        </w:rPr>
        <w:t>resectable</w:t>
      </w:r>
      <w:proofErr w:type="spellEnd"/>
      <w:r w:rsidRPr="0028531E">
        <w:rPr>
          <w:rFonts w:ascii="Bookman Old Style" w:eastAsia="TimesNewRomanPSMT" w:hAnsi="Bookman Old Style"/>
        </w:rPr>
        <w:t xml:space="preserve"> CRC.</w:t>
      </w:r>
      <w:r w:rsidRPr="0028531E">
        <w:rPr>
          <w:rFonts w:ascii="Bookman Old Style" w:eastAsia="TimesNewRomanPSMT" w:hAnsi="Bookman Old Style"/>
        </w:rPr>
        <w:fldChar w:fldCharType="begin" w:fldLock="1"/>
      </w:r>
      <w:r w:rsidRPr="0028531E">
        <w:rPr>
          <w:rFonts w:ascii="Bookman Old Style" w:eastAsia="TimesNewRomanPSMT" w:hAnsi="Bookman Old Style"/>
        </w:rPr>
        <w:instrText>ADDIN CSL_CITATION {"citationItems":[{"id":"ITEM-1","itemData":{"author":[{"dropping-particle":"","family":"Holten-Andersen","given":"MN","non-dropping-particle":"","parse-names":false,"suffix":""},{"dropping-particle":"","family":"Nielsen","given":"HJ","non-dropping-particle":"","parse-names":false,"suffix":""},{"dropping-particle":"","family":"Sørensen","given":"S","non-dropping-particle":"","parse-names":false,"suffix":""},{"dropping-particle":"","family":"Al.","given":"Et","non-dropping-particle":"","parse-names":false,"suffix":""}],"container-title":"Eur J Cancer","id":"ITEM-1","issue":"12","issued":{"date-parts":[["2006"]]},"page":"1889-96","title":"Tissue inhibitor of metalloproteinases-1 in the postoperative monitoring of colorectal cancer","type":"article-journal","volume":"42"},"uris":["http://www.mendeley.com/documents/?uuid=0eb0be4c-ae00-42dd-97df-02aca25c2982","http://www.mendeley.com/documents/?uuid=c220dbb4-d3e7-4c84-9f75-10c8b8ddd738"]}],"mendeley":{"formattedCitation":"(Holten-Andersen &lt;i&gt;et al.&lt;/i&gt;, 2006)","plainTextFormattedCitation":"(Holten-Andersen et al., 2006)","previouslyFormattedCitation":"(Holten-Andersen &lt;i&gt;et al.&lt;/i&gt;, 2006)"},"properties":{"noteIndex":0},"schema":"https://github.com/citation-style-language/schema/raw/master/csl-citation.json"}</w:instrText>
      </w:r>
      <w:r w:rsidRPr="0028531E">
        <w:rPr>
          <w:rFonts w:ascii="Bookman Old Style" w:eastAsia="TimesNewRomanPSMT" w:hAnsi="Bookman Old Style"/>
        </w:rPr>
        <w:fldChar w:fldCharType="separate"/>
      </w:r>
      <w:r w:rsidRPr="0028531E">
        <w:rPr>
          <w:rFonts w:ascii="Bookman Old Style" w:eastAsia="TimesNewRomanPSMT" w:hAnsi="Bookman Old Style"/>
          <w:noProof/>
        </w:rPr>
        <w:t>(</w:t>
      </w:r>
      <w:proofErr w:type="spellStart"/>
      <w:r w:rsidRPr="0028531E">
        <w:rPr>
          <w:rFonts w:ascii="Bookman Old Style" w:eastAsia="TimesNewRomanPSMT" w:hAnsi="Bookman Old Style"/>
          <w:noProof/>
        </w:rPr>
        <w:t>Holten</w:t>
      </w:r>
      <w:proofErr w:type="spellEnd"/>
      <w:r w:rsidRPr="0028531E">
        <w:rPr>
          <w:rFonts w:ascii="Bookman Old Style" w:eastAsia="TimesNewRomanPSMT" w:hAnsi="Bookman Old Style"/>
          <w:noProof/>
        </w:rPr>
        <w:t>-Andersen et al., 2006)</w:t>
      </w:r>
      <w:r w:rsidRPr="0028531E">
        <w:rPr>
          <w:rFonts w:ascii="Bookman Old Style" w:eastAsia="TimesNewRomanPSMT" w:hAnsi="Bookman Old Style"/>
        </w:rPr>
        <w:fldChar w:fldCharType="end"/>
      </w:r>
      <w:r w:rsidRPr="0028531E">
        <w:rPr>
          <w:rFonts w:ascii="Bookman Old Style" w:eastAsia="TimesNewRomanPSMT" w:hAnsi="Bookman Old Style"/>
        </w:rPr>
        <w:t>. The study by Sorensen et al. demonstrated a poorer prognosis with higher plasma TIMP-1 levels at the start of treatment in patients with metastatic CRC (and HR 3.80, P &lt; 0.001)</w:t>
      </w:r>
      <w:r w:rsidRPr="0028531E">
        <w:rPr>
          <w:rFonts w:ascii="Bookman Old Style" w:eastAsia="TimesNewRomanPSMT" w:hAnsi="Bookman Old Style"/>
        </w:rPr>
        <w:fldChar w:fldCharType="begin" w:fldLock="1"/>
      </w:r>
      <w:r w:rsidRPr="0028531E">
        <w:rPr>
          <w:rFonts w:ascii="Bookman Old Style" w:eastAsia="TimesNewRomanPSMT" w:hAnsi="Bookman Old Style"/>
        </w:rPr>
        <w:instrText>ADDIN CSL_CITATION {"citationItems":[{"id":"ITEM-1","itemData":{"DOI":"10.1158/1078-0432.CCR-07-0186","ISSN":"10780432","PMID":"17634538","abstract":"Purpose: Tissue inhibitor of metalloproteinase-1 (TIMP-1) is known to protect cells against apoptosis. We raised the hypothesis that elevated tumor tissue levels and thereby plasma levels of TIMP-1 would predict resistance to apoptosis-inducing chemotherapy. Experimental Design: Ninety patients with metastatic colorectal cancer were included in the study. Plasma TIMP-1 and serum carcinoembryonic antigen (CEA) were measured in samples obtained before the first cycle of chemotherapy. Results: Analysis of best objective response (complete or partial response versus stable or progressive disease) showed that patients with low plasma TIMP-1 had higher probability of obtaining an objective response [odds ratio (OR), 3.5; 95% confidence interval (95% CI), 1.4-8.5, P =0.007]. CEA treated as a continuous variable was also a statistically significant predictor of no response (OR,1.3; 95% CI, 1.0-1.7, P = 0.02, area under the curve 0.66) but much less so. Plasma TIMP-1 was the only significant covariate in a multivariable analysis of best objective response (OR, 3.6; 95% CI, 1.4-9.5; P = 0.001). Plasma TIMP-1 scored as a continuous variable on the log scale (loge) was significantly associated with overall survival [OS; hazard ratio (HR), 3.8; 95% CI, 2.4-5.9; P &lt; 0.0001] and with time to progression (TTP; HR, 1.5; 95% CI, 1.0-2.3; P = 0.048). Multivariable analysis showed that plasma TIMP-1 was significant for OS when including routine clinical baseline covariates (HR, 3.5; 95% CI, 2.1-5.8; P &lt; 0.0001). A multivariable analysis including TTP instead of OS showed that only plasma TIMP-1 was retained in the model (HR,1.5). CEA was not significantly associated with TTP or OS when TIMP-1 was included in the model. Conclusion: This study shows that plasma TIMP-1 levels are significantly and independently associated with objective response, TTP, and OS in patients with metastatic colorectal cancer receiving combination chemotherapy. © 2007 American Association for Cancer Research.","author":[{"dropping-particle":"","family":"Sørensen","given":"Nanna M.","non-dropping-particle":"","parse-names":false,"suffix":""},{"dropping-particle":"","family":"Byström","given":"Per","non-dropping-particle":"","parse-names":false,"suffix":""},{"dropping-particle":"","family":"Christensen","given":"Ib J.","non-dropping-particle":"","parse-names":false,"suffix":""},{"dropping-particle":"","family":"Berglund","given":"Åke","non-dropping-particle":"","parse-names":false,"suffix":""},{"dropping-particle":"","family":"Nielsen","given":"Hans Jørgen","non-dropping-particle":"","parse-names":false,"suffix":""},{"dropping-particle":"","family":"Brünner","given":"Nils","non-dropping-particle":"","parse-names":false,"suffix":""},{"dropping-particle":"","family":"Glimelius","given":"Bengt","non-dropping-particle":"","parse-names":false,"suffix":""}],"container-title":"Clinical Cancer Research","id":"ITEM-1","issue":"14","issued":{"date-parts":[["2007"]]},"page":"4117-4122","title":"TIMP-1 is significantly associated with objective response and survival in metastatic colorectal cancer patients receiving combination of irinotecan, 5-fluorouracil, and folinic acid","type":"article-journal","volume":"13"},"uris":["http://www.mendeley.com/documents/?uuid=2d5da53f-387d-48d5-86a6-bea1fb77b6db","http://www.mendeley.com/documents/?uuid=addf1a92-d021-472c-ad9d-a7e5cc328dc4"]}],"mendeley":{"formattedCitation":"(Sørensen &lt;i&gt;et al.&lt;/i&gt;, 2007)"},"properties":{"noteIndex":0},"schema":"https://github.com/citation-style-language/schema/raw/master/csl-citation.json"}</w:instrText>
      </w:r>
      <w:r w:rsidRPr="0028531E">
        <w:rPr>
          <w:rFonts w:ascii="Bookman Old Style" w:eastAsia="TimesNewRomanPSMT" w:hAnsi="Bookman Old Style"/>
        </w:rPr>
        <w:fldChar w:fldCharType="separate"/>
      </w:r>
      <w:r w:rsidRPr="0028531E">
        <w:rPr>
          <w:rFonts w:ascii="Bookman Old Style" w:eastAsia="TimesNewRomanPSMT" w:hAnsi="Bookman Old Style"/>
          <w:noProof/>
        </w:rPr>
        <w:t xml:space="preserve">(Sørensen </w:t>
      </w:r>
      <w:r w:rsidRPr="0028531E">
        <w:rPr>
          <w:rFonts w:ascii="Bookman Old Style" w:eastAsia="TimesNewRomanPSMT" w:hAnsi="Bookman Old Style"/>
          <w:i/>
          <w:noProof/>
        </w:rPr>
        <w:t>et al.</w:t>
      </w:r>
      <w:r w:rsidRPr="0028531E">
        <w:rPr>
          <w:rFonts w:ascii="Bookman Old Style" w:eastAsia="TimesNewRomanPSMT" w:hAnsi="Bookman Old Style"/>
          <w:noProof/>
        </w:rPr>
        <w:t>, 2007)</w:t>
      </w:r>
      <w:r w:rsidRPr="0028531E">
        <w:rPr>
          <w:rFonts w:ascii="Bookman Old Style" w:eastAsia="TimesNewRomanPSMT" w:hAnsi="Bookman Old Style"/>
        </w:rPr>
        <w:fldChar w:fldCharType="end"/>
      </w:r>
      <w:r w:rsidRPr="0028531E">
        <w:rPr>
          <w:rFonts w:ascii="Bookman Old Style" w:eastAsia="TimesNewRomanPSMT" w:hAnsi="Bookman Old Style"/>
        </w:rPr>
        <w:t>. In contrast, Ishida et al., 2015 reported no correlation between TIMP-1 levels and prognosis. The entry-level of TIMP-1 appears to be a highly correlated prognostic factor</w:t>
      </w:r>
      <w:r w:rsidRPr="0028531E">
        <w:rPr>
          <w:rFonts w:ascii="Bookman Old Style" w:eastAsia="TimesNewRomanPSMT" w:hAnsi="Bookman Old Style"/>
        </w:rPr>
        <w:fldChar w:fldCharType="begin" w:fldLock="1"/>
      </w:r>
      <w:r w:rsidRPr="0028531E">
        <w:rPr>
          <w:rFonts w:ascii="Bookman Old Style" w:eastAsia="TimesNewRomanPSMT" w:hAnsi="Bookman Old Style"/>
        </w:rPr>
        <w:instrText>ADDIN CSL_CITATION {"citationItems":[{"id":"ITEM-1","itemData":{"author":[{"dropping-particle":"","family":"Ishida","given":"H","non-dropping-particle":"","parse-names":false,"suffix":""},{"dropping-particle":"","family":"Murata","given":"N","non-dropping-particle":"","parse-names":false,"suffix":""},{"dropping-particle":"","family":"Hayashi","given":"Y","non-dropping-particle":"","parse-names":false,"suffix":""},{"dropping-particle":"","family":"Al.","given":"Et","non-dropping-particle":"","parse-names":false,"suffix":""}],"container-title":"Surg Today","id":"ITEM-1","issued":{"date-parts":[["2003"]]},"page":"885-92","title":"Serum levels of tissue inhibitor of metalloproteinases-1 (TIMP-1) in colorectal cancer patients.","type":"article-journal","volume":"33"},"uris":["http://www.mendeley.com/documents/?uuid=958b96bd-0a48-434e-8556-53015f3096fc","http://www.mendeley.com/documents/?uuid=38281b3c-fb81-4c74-ab3f-e135815758bc"]}],"mendeley":{"formattedCitation":"(Ishida &lt;i&gt;et al.&lt;/i&gt;, 2003)","plainTextFormattedCitation":"(Ishida et al., 2003)","previouslyFormattedCitation":"(Ishida &lt;i&gt;et al.&lt;/i&gt;, 2003)"},"properties":{"noteIndex":0},"schema":"https://github.com/citation-style-language/schema/raw/master/csl-citation.json"}</w:instrText>
      </w:r>
      <w:r w:rsidRPr="0028531E">
        <w:rPr>
          <w:rFonts w:ascii="Bookman Old Style" w:eastAsia="TimesNewRomanPSMT" w:hAnsi="Bookman Old Style"/>
        </w:rPr>
        <w:fldChar w:fldCharType="separate"/>
      </w:r>
      <w:r w:rsidRPr="0028531E">
        <w:rPr>
          <w:rFonts w:ascii="Bookman Old Style" w:eastAsia="TimesNewRomanPSMT" w:hAnsi="Bookman Old Style"/>
          <w:noProof/>
        </w:rPr>
        <w:t>(Ishida et al., 2003)</w:t>
      </w:r>
      <w:r w:rsidRPr="0028531E">
        <w:rPr>
          <w:rFonts w:ascii="Bookman Old Style" w:eastAsia="TimesNewRomanPSMT" w:hAnsi="Bookman Old Style"/>
        </w:rPr>
        <w:fldChar w:fldCharType="end"/>
      </w:r>
      <w:r w:rsidRPr="0028531E">
        <w:rPr>
          <w:rFonts w:ascii="Bookman Old Style" w:eastAsia="TimesNewRomanPSMT" w:hAnsi="Bookman Old Style"/>
        </w:rPr>
        <w:t xml:space="preserve">. This can be explained by the strong correlation between TIMP-1 levels and liver involvement in patients without pulmonary metastases. The patients with some liver metastases greater than 100 mm had significantly higher TIMP-1 levels. Another explanation is that patients with unresected primary tumors, due to poor performance status, have higher TIMP-1 levels. This explanation could be the unsatisfactory treatment result </w:t>
      </w:r>
      <w:r w:rsidRPr="0028531E">
        <w:rPr>
          <w:rFonts w:ascii="Bookman Old Style" w:eastAsia="TimesNewRomanPSMT" w:hAnsi="Bookman Old Style"/>
        </w:rPr>
        <w:fldChar w:fldCharType="begin" w:fldLock="1"/>
      </w:r>
      <w:r w:rsidRPr="0028531E">
        <w:rPr>
          <w:rFonts w:ascii="Bookman Old Style" w:eastAsia="TimesNewRomanPSMT" w:hAnsi="Bookman Old Style"/>
        </w:rPr>
        <w:instrText>ADDIN CSL_CITATION {"citationItems":[{"id":"ITEM-1","itemData":{"DOI":"10.1177/1724600819866202","ISSN":"17246008","PMID":"31578137","abstract":"Objective: Tissue inhibitor of metalloproteinases 1 (TIMP-1) and matrix metalloproteinase 7 (MMP-7) were reported to have potent growth promoting activity. Lack of balance between MMPs and TIMPs is an important factor in the development of gastrointestinal malignancies. Methods: We collected serum samples from 97 patients with metastatic colorectal cancer and 79 samples from healthy controls. Serum levels of TIMP-1 and MMP-7 were measured immunochemically and compared with standard tumor markers carcinoembryonic antigen and CA19-9. Results: Serum levels of TIMP-1 and MMP-7 were significantly higher in patients with colorectal cancer compared to healthy controls (both, P &lt; 0.001). TIMP-1 and MMP-7 correlate with the presence of colon involvement (P = 0.001; P = 0.012) and the presence of liver metastases (P = 0.002; P = 0.037), and negatively correlate with pulmonary metastases (P = 0.014; P = 0.005). MMP-7 had similar sensitivity and the same specificity as carcinoembryonic antigen. TIMP-1 and MMP-7 had better sensitivity than CA19-9. TIMP-1 and MMP-7 level correlate with worse outcome (P = 0.002). Conclusion: The results indicate that TIMP-1 and MMP-7 are effective biomarkers in patients with metastatic colorectal cancer with good sensitivity. TIMP-1 and MMP-7 levels strongly correlate with the extent of liver disease and have prognostic value.","author":[{"dropping-particle":"","family":"Vočka","given":"Michal","non-dropping-particle":"","parse-names":false,"suffix":""},{"dropping-particle":"","family":"Langer","given":"Daniel","non-dropping-particle":"","parse-names":false,"suffix":""},{"dropping-particle":"","family":"Fryba","given":"Vladimir","non-dropping-particle":"","parse-names":false,"suffix":""},{"dropping-particle":"","family":"Petrtyl","given":"Jaromir","non-dropping-particle":"","parse-names":false,"suffix":""},{"dropping-particle":"","family":"Hanus","given":"Tomas","non-dropping-particle":"","parse-names":false,"suffix":""},{"dropping-particle":"","family":"Kalousova","given":"Marta","non-dropping-particle":"","parse-names":false,"suffix":""},{"dropping-particle":"","family":"Zima","given":"Tomas","non-dropping-particle":"","parse-names":false,"suffix":""},{"dropping-particle":"","family":"Petruzelka","given":"Lubos","non-dropping-particle":"","parse-names":false,"suffix":""}],"container-title":"International Journal of Biological Markers","id":"ITEM-1","issue":"3","issued":{"date-parts":[["2019"]]},"page":"292-301","title":"Serum levels of TIMP-1 and MMP-7 as potential biomarkers in patients with metastatic colorectal cancer","type":"article-journal","volume":"34"},"uris":["http://www.mendeley.com/documents/?uuid=f5a98b4a-f251-47da-b6cc-22ba0f314c25","http://www.mendeley.com/documents/?uuid=aa9cf9a9-e9c5-4693-9c37-a5036ba368da"]}],"mendeley":{"formattedCitation":"(Vočka &lt;i&gt;et al.&lt;/i&gt;, 2019)","plainTextFormattedCitation":"(Vočka et al., 2019)","previouslyFormattedCitation":"(Vočka &lt;i&gt;et al.&lt;/i&gt;, 2019)"},"properties":{"noteIndex":0},"schema":"https://github.com/citation-style-language/schema/raw/master/csl-citation.json"}</w:instrText>
      </w:r>
      <w:r w:rsidRPr="0028531E">
        <w:rPr>
          <w:rFonts w:ascii="Bookman Old Style" w:eastAsia="TimesNewRomanPSMT" w:hAnsi="Bookman Old Style"/>
        </w:rPr>
        <w:fldChar w:fldCharType="separate"/>
      </w:r>
      <w:r w:rsidRPr="0028531E">
        <w:rPr>
          <w:rFonts w:ascii="Bookman Old Style" w:eastAsia="TimesNewRomanPSMT" w:hAnsi="Bookman Old Style"/>
          <w:noProof/>
        </w:rPr>
        <w:t>(Vočka et al., 2019)</w:t>
      </w:r>
      <w:r w:rsidRPr="0028531E">
        <w:rPr>
          <w:rFonts w:ascii="Bookman Old Style" w:eastAsia="TimesNewRomanPSMT" w:hAnsi="Bookman Old Style"/>
        </w:rPr>
        <w:fldChar w:fldCharType="end"/>
      </w:r>
      <w:r w:rsidRPr="0028531E">
        <w:rPr>
          <w:rFonts w:ascii="Bookman Old Style" w:eastAsia="TimesNewRomanPSMT" w:hAnsi="Bookman Old Style"/>
        </w:rPr>
        <w:t>.</w:t>
      </w:r>
    </w:p>
    <w:p w14:paraId="1E8C5944" w14:textId="77777777" w:rsidR="0028531E" w:rsidRPr="0028531E" w:rsidRDefault="0028531E" w:rsidP="0028531E">
      <w:pPr>
        <w:jc w:val="both"/>
        <w:rPr>
          <w:rFonts w:ascii="Bookman Old Style" w:eastAsia="TimesNewRomanPSMT" w:hAnsi="Bookman Old Style"/>
        </w:rPr>
      </w:pPr>
    </w:p>
    <w:p w14:paraId="09493FB4" w14:textId="77777777" w:rsidR="0028531E" w:rsidRPr="0028531E" w:rsidRDefault="0028531E" w:rsidP="0028531E">
      <w:pPr>
        <w:jc w:val="both"/>
        <w:rPr>
          <w:rFonts w:ascii="Bookman Old Style" w:hAnsi="Bookman Old Style"/>
          <w:lang w:val="en-ID"/>
        </w:rPr>
      </w:pPr>
      <w:r w:rsidRPr="0028531E">
        <w:rPr>
          <w:rFonts w:ascii="Bookman Old Style" w:eastAsia="TimesNewRomanPSMT" w:hAnsi="Bookman Old Style"/>
        </w:rPr>
        <w:lastRenderedPageBreak/>
        <w:t xml:space="preserve">High levels of TIMP1 also correlated significantly with the increased risk of CRC patients with metachronous liver metastases and intrahepatic recurrence after resection of liver metastases, with a 5-year disease-free survival rate of 15.9%. Univariate and multivariate analysis showed that high TIMP1 levels were predictors of poorer prognosis </w:t>
      </w:r>
      <w:r w:rsidRPr="0028531E">
        <w:rPr>
          <w:rFonts w:ascii="Bookman Old Style" w:eastAsia="TimesNewRomanPSMT" w:hAnsi="Bookman Old Style"/>
        </w:rPr>
        <w:fldChar w:fldCharType="begin" w:fldLock="1"/>
      </w:r>
      <w:r w:rsidRPr="0028531E">
        <w:rPr>
          <w:rFonts w:ascii="Bookman Old Style" w:eastAsia="TimesNewRomanPSMT" w:hAnsi="Bookman Old Style"/>
        </w:rPr>
        <w:instrText>ADDIN CSL_CITATION {"citationItems":[{"id":"ITEM-1","itemData":{"DOI":"10.3892/ol.2012.691","ISSN":"17921074","abstract":"The purpose of this study was to develop predictive/prognostic markers for liver metastasis and recurrence following liver resection, investigating not only clinical parameters but also molecular markers that are known to be involved in the process of liver metastasis. Seventy colon cancer patients with either no distant metastasis (group A) or with resectable synchronous liver metastasis only (group B) were prospectively enrolled. All 70 patients received curative resection of the primary tumor. Group B patients underwent additional liver resection. Clinical parameters as well as serum levels of molecular markers [carcinoembryonic antigen (CEA), osteopontin, matrix metalloproteinase-7 (MMP-7), tissue inhibitor of metalloproteinase-1 (TIMP-1), hepatocyte growth factor (HGF), vascular endothelial growth factor (VEGF) and E-selectin] from both tumor drainage (DV) and peripheral veins (PV) were analyzed. Results showed the clinical parameters were not significantly different between groups A and B. Nonetheless, the levels of VEGF and TIMP-1 from both DV and PV were significantly higher in group B compared to group A. In group A, 10 out of 33 (27.0%) patients developed metachronous liver metastasis. High levels of VEGF and TIMP-1 from DV were found to be significantly correlated with metachronous liver metastasis. In group B, 20 out of 33 (60.6%) patients had intrahepatic recurrence following resection of synchronous liver metastasis. The levels of VEGF from DV and the levels of TIMP-1 both from PV and DV were found to be significantly correlated with intrahepatic recurrence. Forty patients (7 from group A and 33 from group B) had liver resection and their 5-year disease-free survival rate was 15.9%. Univariate and multivariate analyses of prognostic factors revealed that the levels of VEGF and TIMP-1 from DV as well as the presence of lymph node metastasis from the primary tumor, synchronous metastasis and R1 resection were significantly associated with worse prognosis. The colon cancer patients with high levels of VEGF and TIMP-1 detected from the DV at the time of their initial surgery were found to have a high risk of metachronous liver metastasis and hepatic recurrence following the resection of synchronous liver metastasis. The high levels of VEGF and TIMP-1 were found to be significant predictive factors for poor prognosis following liver resection. These results require validation but pave the way for future transitional or clinical studies that may…","author":[{"dropping-particle":"","family":"Min","given":"Byung Soh","non-dropping-particle":"","parse-names":false,"suffix":""},{"dropping-particle":"","family":"Kim","given":"Nam Kyu","non-dropping-particle":"","parse-names":false,"suffix":""},{"dropping-particle":"","family":"Jeong","given":"Hee Chul","non-dropping-particle":"","parse-names":false,"suffix":""},{"dropping-particle":"","family":"Chung","given":"Hyun Cheol","non-dropping-particle":"","parse-names":false,"suffix":""}],"container-title":"Oncology Letters","id":"ITEM-1","issue":"1","issued":{"date-parts":[["2012"]]},"page":"123-130","title":"High levels of serum VEGF and TIMP-1 are correlated with colon cancer liver metastasis and intrahepatic recurrence after liver resection","type":"article-journal","volume":"4"},"uris":["http://www.mendeley.com/documents/?uuid=049f2308-81ad-49ba-b579-f5fe2f353a5a","http://www.mendeley.com/documents/?uuid=886b0f95-3dee-4453-920b-4db13afe13ad"]}],"mendeley":{"formattedCitation":"(Min &lt;i&gt;et al.&lt;/i&gt;, 2012)","plainTextFormattedCitation":"(Min et al., 2012)","previouslyFormattedCitation":"(Min &lt;i&gt;et al.&lt;/i&gt;, 2012)"},"properties":{"noteIndex":0},"schema":"https://github.com/citation-style-language/schema/raw/master/csl-citation.json"}</w:instrText>
      </w:r>
      <w:r w:rsidRPr="0028531E">
        <w:rPr>
          <w:rFonts w:ascii="Bookman Old Style" w:eastAsia="TimesNewRomanPSMT" w:hAnsi="Bookman Old Style"/>
        </w:rPr>
        <w:fldChar w:fldCharType="separate"/>
      </w:r>
      <w:r w:rsidRPr="0028531E">
        <w:rPr>
          <w:rFonts w:ascii="Bookman Old Style" w:eastAsia="TimesNewRomanPSMT" w:hAnsi="Bookman Old Style"/>
          <w:noProof/>
        </w:rPr>
        <w:t>(Min et al., 2012)</w:t>
      </w:r>
      <w:r w:rsidRPr="0028531E">
        <w:rPr>
          <w:rFonts w:ascii="Bookman Old Style" w:eastAsia="TimesNewRomanPSMT" w:hAnsi="Bookman Old Style"/>
        </w:rPr>
        <w:fldChar w:fldCharType="end"/>
      </w:r>
      <w:r w:rsidRPr="0028531E">
        <w:rPr>
          <w:rFonts w:ascii="Bookman Old Style" w:eastAsia="TimesNewRomanPSMT" w:hAnsi="Bookman Old Style"/>
        </w:rPr>
        <w:t>. Overexpression of TIMP1 in CRC tissues was significantly associated with regional lymph node metastasis (p</w:t>
      </w:r>
      <w:r w:rsidRPr="0028531E">
        <w:rPr>
          <w:rFonts w:eastAsia="TimesNewRomanPSMT"/>
        </w:rPr>
        <w:t> </w:t>
      </w:r>
      <w:r w:rsidRPr="0028531E">
        <w:rPr>
          <w:rFonts w:ascii="Bookman Old Style" w:eastAsia="TimesNewRomanPSMT" w:hAnsi="Bookman Old Style"/>
        </w:rPr>
        <w:t>=</w:t>
      </w:r>
      <w:r w:rsidRPr="0028531E">
        <w:rPr>
          <w:rFonts w:eastAsia="TimesNewRomanPSMT"/>
        </w:rPr>
        <w:t> </w:t>
      </w:r>
      <w:r w:rsidRPr="0028531E">
        <w:rPr>
          <w:rFonts w:ascii="Bookman Old Style" w:eastAsia="TimesNewRomanPSMT" w:hAnsi="Bookman Old Style"/>
        </w:rPr>
        <w:t>0.033), distant metastases (p</w:t>
      </w:r>
      <w:r w:rsidRPr="0028531E">
        <w:rPr>
          <w:rFonts w:eastAsia="TimesNewRomanPSMT"/>
        </w:rPr>
        <w:t> </w:t>
      </w:r>
      <w:r w:rsidRPr="0028531E">
        <w:rPr>
          <w:rFonts w:ascii="Bookman Old Style" w:eastAsia="TimesNewRomanPSMT" w:hAnsi="Bookman Old Style"/>
        </w:rPr>
        <w:t>=</w:t>
      </w:r>
      <w:r w:rsidRPr="0028531E">
        <w:rPr>
          <w:rFonts w:eastAsia="TimesNewRomanPSMT"/>
        </w:rPr>
        <w:t> </w:t>
      </w:r>
      <w:r w:rsidRPr="0028531E">
        <w:rPr>
          <w:rFonts w:ascii="Bookman Old Style" w:eastAsia="TimesNewRomanPSMT" w:hAnsi="Bookman Old Style"/>
        </w:rPr>
        <w:t>0.039), and vascular invasion (p</w:t>
      </w:r>
      <w:r w:rsidRPr="0028531E">
        <w:rPr>
          <w:rFonts w:eastAsia="TimesNewRomanPSMT"/>
        </w:rPr>
        <w:t> </w:t>
      </w:r>
      <w:r w:rsidRPr="0028531E">
        <w:rPr>
          <w:rFonts w:ascii="Bookman Old Style" w:eastAsia="TimesNewRomanPSMT" w:hAnsi="Bookman Old Style"/>
        </w:rPr>
        <w:t>=</w:t>
      </w:r>
      <w:r w:rsidRPr="0028531E">
        <w:rPr>
          <w:rFonts w:eastAsia="TimesNewRomanPSMT"/>
        </w:rPr>
        <w:t> </w:t>
      </w:r>
      <w:r w:rsidRPr="0028531E">
        <w:rPr>
          <w:rFonts w:ascii="Bookman Old Style" w:eastAsia="TimesNewRomanPSMT" w:hAnsi="Bookman Old Style"/>
        </w:rPr>
        <w:t>0.024). It is stated that TIMP-1 has multiple functions, one of which is based on MMP-dependent anti-proteolytic activity with other MMP-independent cell growth activity. TIMP-1 depletion can suppress CRC cell proliferation, migration, and invasion in vitro and suppress tumorigenicity and metastasis of cancer cells in vivo. In addition, TIMP-1 can also enhance anti-apoptosis in CRC through the BAD-mediated phosphorylation pathway. These findings suggest that TIMP-1 not only has an important role as a predictor of CRC in proliferation, invasion, and metastasis but can also be an important therapeutic target for CRC patients</w:t>
      </w:r>
      <w:r w:rsidRPr="0028531E">
        <w:rPr>
          <w:rFonts w:ascii="Bookman Old Style" w:hAnsi="Bookman Old Style"/>
          <w:lang w:val="en-ID"/>
        </w:rPr>
        <w:t xml:space="preserve"> </w:t>
      </w:r>
      <w:r w:rsidRPr="0028531E">
        <w:rPr>
          <w:rFonts w:ascii="Bookman Old Style" w:hAnsi="Bookman Old Style"/>
          <w:lang w:val="en-ID"/>
        </w:rPr>
        <w:fldChar w:fldCharType="begin" w:fldLock="1"/>
      </w:r>
      <w:r w:rsidRPr="0028531E">
        <w:rPr>
          <w:rFonts w:ascii="Bookman Old Style" w:hAnsi="Bookman Old Style"/>
          <w:lang w:val="en-ID"/>
        </w:rPr>
        <w:instrText>ADDIN CSL_CITATION {"citationItems":[{"id":"ITEM-1","itemData":{"DOI":"10.1186/s13046-016-0427-7","ISSN":"1756-9966","abstract":"Tissue inhibitor matrix metalloproteinase 1 (TIMP1) plays a vital role in carcinogenesis, yet its precise functional roles and regulation remain unclear. In this study, we aim to investigate its biological function and clinical significance in human colon cancer.","author":[{"dropping-particle":"","family":"Song","given":"Guohe","non-dropping-particle":"","parse-names":false,"suffix":""},{"dropping-particle":"","family":"Xu","given":"Shifeng","non-dropping-particle":"","parse-names":false,"suffix":""},{"dropping-particle":"","family":"Zhang","given":"Hong","non-dropping-particle":"","parse-names":false,"suffix":""},{"dropping-particle":"","family":"Wang","given":"Yupeng","non-dropping-particle":"","parse-names":false,"suffix":""},{"dropping-particle":"","family":"Xiao","given":"Chao","non-dropping-particle":"","parse-names":false,"suffix":""},{"dropping-particle":"","family":"Jiang","given":"Tao","non-dropping-particle":"","parse-names":false,"suffix":""},{"dropping-particle":"","family":"Wu","given":"Leilei","non-dropping-particle":"","parse-names":false,"suffix":""},{"dropping-particle":"","family":"Zhang","given":"Tao","non-dropping-particle":"","parse-names":false,"suffix":""},{"dropping-particle":"","family":"Sun","given":"Xing","non-dropping-particle":"","parse-names":false,"suffix":""},{"dropping-particle":"","family":"Zhong","given":"Lin","non-dropping-particle":"","parse-names":false,"suffix":""},{"dropping-particle":"","family":"Zhou","given":"Chongzhi","non-dropping-particle":"","parse-names":false,"suffix":""},{"dropping-particle":"","family":"Wang","given":"Zhaowen","non-dropping-particle":"","parse-names":false,"suffix":""},{"dropping-particle":"","family":"Peng","given":"Zhihai","non-dropping-particle":"","parse-names":false,"suffix":""},{"dropping-particle":"","family":"Chen","given":"Jian","non-dropping-particle":"","parse-names":false,"suffix":""},{"dropping-particle":"","family":"Wang","given":"Xiaoliang","non-dropping-particle":"","parse-names":false,"suffix":""}],"container-title":"Journal of Experimental &amp; Clinical Cancer Research","id":"ITEM-1","issue":"1","issued":{"date-parts":[["2016"]]},"page":"148","title":"TIMP1 is a prognostic marker for the progression and metastasis of colon cancer through FAK-PI3K/AKT and MAPK pathway","type":"article-journal","volume":"35"},"uris":["http://www.mendeley.com/documents/?uuid=f054d016-1c65-49bc-af7b-798ec1b2603d","http://www.mendeley.com/documents/?uuid=695549fe-41fe-43df-8374-515cad7a775e","http://www.mendeley.com/documents/?uuid=31543d65-33c2-4598-b0e0-0d462b0caa59"]}],"mendeley":{"formattedCitation":"(Song &lt;i&gt;et al.&lt;/i&gt;, 2016)","plainTextFormattedCitation":"(Song et al., 2016)","previouslyFormattedCitation":"(Song &lt;i&gt;et al.&lt;/i&gt;, 2016a)"},"properties":{"noteIndex":0},"schema":"https://github.com/citation-style-language/schema/raw/master/csl-citation.json"}</w:instrText>
      </w:r>
      <w:r w:rsidRPr="0028531E">
        <w:rPr>
          <w:rFonts w:ascii="Bookman Old Style" w:hAnsi="Bookman Old Style"/>
          <w:lang w:val="en-ID"/>
        </w:rPr>
        <w:fldChar w:fldCharType="separate"/>
      </w:r>
      <w:r w:rsidRPr="0028531E">
        <w:rPr>
          <w:rFonts w:ascii="Bookman Old Style" w:hAnsi="Bookman Old Style"/>
          <w:noProof/>
          <w:lang w:val="en-ID"/>
        </w:rPr>
        <w:t xml:space="preserve">(Song </w:t>
      </w:r>
      <w:r w:rsidRPr="0028531E">
        <w:rPr>
          <w:rFonts w:ascii="Bookman Old Style" w:hAnsi="Bookman Old Style"/>
          <w:i/>
          <w:noProof/>
          <w:lang w:val="en-ID"/>
        </w:rPr>
        <w:t>et al.</w:t>
      </w:r>
      <w:r w:rsidRPr="0028531E">
        <w:rPr>
          <w:rFonts w:ascii="Bookman Old Style" w:hAnsi="Bookman Old Style"/>
          <w:noProof/>
          <w:lang w:val="en-ID"/>
        </w:rPr>
        <w:t>, 2016)</w:t>
      </w:r>
      <w:r w:rsidRPr="0028531E">
        <w:rPr>
          <w:rFonts w:ascii="Bookman Old Style" w:hAnsi="Bookman Old Style"/>
          <w:lang w:val="en-ID"/>
        </w:rPr>
        <w:fldChar w:fldCharType="end"/>
      </w:r>
      <w:r w:rsidRPr="0028531E">
        <w:rPr>
          <w:rFonts w:ascii="Bookman Old Style" w:hAnsi="Bookman Old Style"/>
          <w:lang w:val="en-ID"/>
        </w:rPr>
        <w:t xml:space="preserve"> </w:t>
      </w:r>
    </w:p>
    <w:p w14:paraId="5A1D8021" w14:textId="77777777" w:rsidR="0028531E" w:rsidRPr="0028531E" w:rsidRDefault="0028531E" w:rsidP="0028531E">
      <w:pPr>
        <w:jc w:val="both"/>
        <w:rPr>
          <w:rFonts w:ascii="Bookman Old Style" w:hAnsi="Bookman Old Style"/>
          <w:lang w:val="en-ID"/>
        </w:rPr>
      </w:pPr>
    </w:p>
    <w:p w14:paraId="38C9647B" w14:textId="77777777" w:rsidR="0028531E" w:rsidRPr="0028531E" w:rsidRDefault="0028531E" w:rsidP="0028531E">
      <w:pPr>
        <w:jc w:val="both"/>
        <w:rPr>
          <w:rFonts w:ascii="Bookman Old Style" w:eastAsia="TimesNewRomanPSMT" w:hAnsi="Bookman Old Style"/>
        </w:rPr>
      </w:pPr>
      <w:r w:rsidRPr="0028531E">
        <w:rPr>
          <w:rFonts w:ascii="Bookman Old Style" w:eastAsia="TimesNewRomanPSMT" w:hAnsi="Bookman Old Style"/>
        </w:rPr>
        <w:t xml:space="preserve">This study has limitations sample one health center. The following research can be done to use TIMP-1 serum to predict chemotherapy response in colorectal cancer patients and treatment response in colorectal polyp patients. In addition, research can be done that combines TMIP with other biomarkers that can be used to predict chemotherapy and treatment resistance in cancer patients and colorectal tumors. Tissue Inhibitor </w:t>
      </w:r>
      <w:proofErr w:type="spellStart"/>
      <w:r w:rsidRPr="0028531E">
        <w:rPr>
          <w:rFonts w:ascii="Bookman Old Style" w:eastAsia="TimesNewRomanPSMT" w:hAnsi="Bookman Old Style"/>
        </w:rPr>
        <w:t>Mettaloprotease</w:t>
      </w:r>
      <w:proofErr w:type="spellEnd"/>
      <w:r w:rsidRPr="0028531E">
        <w:rPr>
          <w:rFonts w:ascii="Bookman Old Style" w:eastAsia="TimesNewRomanPSMT" w:hAnsi="Bookman Old Style"/>
        </w:rPr>
        <w:t xml:space="preserve"> (TIMP-1) is a biomarker of CRC events based on its relationship with cancer cell proliferation, migration, and invasion in vitro. It can suppress tumorigenicity and cancer cell metastasis in vivo. However, the use of TIMP-1 is still limited.</w:t>
      </w:r>
    </w:p>
    <w:p w14:paraId="21208B24" w14:textId="77777777" w:rsidR="0028531E" w:rsidRPr="0028531E" w:rsidRDefault="0028531E" w:rsidP="0028531E">
      <w:pPr>
        <w:pStyle w:val="ListParagraph"/>
        <w:spacing w:after="0" w:line="240" w:lineRule="auto"/>
        <w:ind w:left="0"/>
        <w:jc w:val="both"/>
        <w:rPr>
          <w:rFonts w:ascii="Bookman Old Style" w:eastAsia="TimesNewRomanPSMT" w:hAnsi="Bookman Old Style"/>
          <w:sz w:val="20"/>
          <w:szCs w:val="20"/>
        </w:rPr>
      </w:pPr>
    </w:p>
    <w:p w14:paraId="7886B05A" w14:textId="77777777" w:rsidR="0028531E" w:rsidRPr="0028531E" w:rsidRDefault="0028531E" w:rsidP="0028531E">
      <w:pPr>
        <w:pStyle w:val="ListParagraph"/>
        <w:spacing w:after="0" w:line="240" w:lineRule="auto"/>
        <w:ind w:left="0"/>
        <w:jc w:val="both"/>
        <w:rPr>
          <w:rFonts w:ascii="Bookman Old Style" w:eastAsia="TimesNewRomanPSMT" w:hAnsi="Bookman Old Style"/>
          <w:sz w:val="20"/>
          <w:szCs w:val="20"/>
        </w:rPr>
      </w:pPr>
      <w:r w:rsidRPr="0028531E">
        <w:rPr>
          <w:rFonts w:ascii="Bookman Old Style" w:eastAsia="TimesNewRomanPSMT" w:hAnsi="Bookman Old Style"/>
          <w:sz w:val="20"/>
          <w:szCs w:val="20"/>
        </w:rPr>
        <w:t xml:space="preserve">The examination often used is the </w:t>
      </w:r>
      <w:proofErr w:type="spellStart"/>
      <w:r w:rsidRPr="0028531E">
        <w:rPr>
          <w:rFonts w:ascii="Bookman Old Style" w:eastAsia="TimesNewRomanPSMT" w:hAnsi="Bookman Old Style"/>
          <w:sz w:val="20"/>
          <w:szCs w:val="20"/>
        </w:rPr>
        <w:t>Fecal</w:t>
      </w:r>
      <w:proofErr w:type="spellEnd"/>
      <w:r w:rsidRPr="0028531E">
        <w:rPr>
          <w:rFonts w:ascii="Bookman Old Style" w:eastAsia="TimesNewRomanPSMT" w:hAnsi="Bookman Old Style"/>
          <w:sz w:val="20"/>
          <w:szCs w:val="20"/>
        </w:rPr>
        <w:t xml:space="preserve"> Occult Blood Test, which has a sensitivity of 30-52% and a specificity of 95%. Other tests that are used and invasive, such as flexible sigmoidoscopy, give a sensitivity value of 58%-75% for small lesions and a specificity of 94%. (Granados, 2017). In this study, TIMP-1 obtained from peripheral venous blood samples had a sensitivity of 80.8% and specificity of 77.8%</w:t>
      </w:r>
      <w:r w:rsidRPr="0028531E">
        <w:rPr>
          <w:rFonts w:ascii="Bookman Old Style" w:hAnsi="Bookman Old Style"/>
          <w:sz w:val="20"/>
          <w:szCs w:val="20"/>
        </w:rPr>
        <w:t>, the relatively specific role of TIMP-1 in predicting CRC.</w:t>
      </w:r>
    </w:p>
    <w:p w14:paraId="62286973" w14:textId="77777777" w:rsidR="0028531E" w:rsidRPr="0028531E" w:rsidRDefault="0028531E" w:rsidP="0028531E">
      <w:pPr>
        <w:pStyle w:val="ListParagraph"/>
        <w:spacing w:after="0" w:line="240" w:lineRule="auto"/>
        <w:ind w:left="0"/>
        <w:jc w:val="both"/>
        <w:rPr>
          <w:rFonts w:ascii="Bookman Old Style" w:eastAsia="TimesNewRomanPSMT" w:hAnsi="Bookman Old Style"/>
          <w:sz w:val="20"/>
          <w:szCs w:val="20"/>
        </w:rPr>
      </w:pPr>
    </w:p>
    <w:p w14:paraId="43624B40" w14:textId="77777777" w:rsidR="0028531E" w:rsidRPr="0028531E" w:rsidRDefault="0028531E" w:rsidP="0028531E">
      <w:pPr>
        <w:pStyle w:val="ListParagraph"/>
        <w:spacing w:after="0" w:line="240" w:lineRule="auto"/>
        <w:ind w:left="0"/>
        <w:jc w:val="both"/>
        <w:rPr>
          <w:rFonts w:ascii="Bookman Old Style" w:eastAsia="TimesNewRomanPSMT" w:hAnsi="Bookman Old Style"/>
          <w:sz w:val="20"/>
          <w:szCs w:val="20"/>
        </w:rPr>
      </w:pPr>
      <w:r w:rsidRPr="0028531E">
        <w:rPr>
          <w:rFonts w:ascii="Bookman Old Style" w:eastAsia="TimesNewRomanPSMT" w:hAnsi="Bookman Old Style"/>
          <w:sz w:val="20"/>
          <w:szCs w:val="20"/>
        </w:rPr>
        <w:t>Based on this study, the chance of developing Colorectal Cancer if the TIMP-1 level with a cut-off point &gt; 66.5</w:t>
      </w:r>
      <w:r w:rsidRPr="0028531E">
        <w:rPr>
          <w:rFonts w:ascii="Bookman Old Style" w:hAnsi="Bookman Old Style"/>
          <w:sz w:val="20"/>
          <w:szCs w:val="20"/>
        </w:rPr>
        <w:t xml:space="preserve">has a 14.70 times greater chance of becoming a CRC with a sensitivity of 80.8% and specificity of 77.8. </w:t>
      </w:r>
      <w:proofErr w:type="gramStart"/>
      <w:r w:rsidRPr="0028531E">
        <w:rPr>
          <w:rFonts w:ascii="Bookman Old Style" w:hAnsi="Bookman Old Style"/>
          <w:sz w:val="20"/>
          <w:szCs w:val="20"/>
        </w:rPr>
        <w:t>So</w:t>
      </w:r>
      <w:proofErr w:type="gramEnd"/>
      <w:r w:rsidRPr="0028531E">
        <w:rPr>
          <w:rFonts w:ascii="Bookman Old Style" w:hAnsi="Bookman Old Style"/>
          <w:sz w:val="20"/>
          <w:szCs w:val="20"/>
        </w:rPr>
        <w:t xml:space="preserve"> TIMP-1 is a biomarker that can predict CRC events in Indonesia.</w:t>
      </w:r>
      <w:r w:rsidRPr="0028531E">
        <w:rPr>
          <w:rFonts w:ascii="Bookman Old Style" w:eastAsia="TimesNewRomanPSMT" w:hAnsi="Bookman Old Style"/>
          <w:b/>
          <w:bCs/>
          <w:sz w:val="20"/>
          <w:szCs w:val="20"/>
        </w:rPr>
        <w:t xml:space="preserve"> </w:t>
      </w:r>
      <w:r w:rsidRPr="0028531E">
        <w:rPr>
          <w:rFonts w:ascii="Bookman Old Style" w:eastAsia="TimesNewRomanPSMT" w:hAnsi="Bookman Old Style"/>
          <w:sz w:val="20"/>
          <w:szCs w:val="20"/>
        </w:rPr>
        <w:t xml:space="preserve">TIMP-1 levels are also obtained through venous blood sampling so that it can be an alternative if the patient chooses a </w:t>
      </w:r>
      <w:proofErr w:type="spellStart"/>
      <w:r w:rsidRPr="0028531E">
        <w:rPr>
          <w:rFonts w:ascii="Bookman Old Style" w:eastAsia="TimesNewRomanPSMT" w:hAnsi="Bookman Old Style"/>
          <w:sz w:val="20"/>
          <w:szCs w:val="20"/>
        </w:rPr>
        <w:t>noninvasive</w:t>
      </w:r>
      <w:proofErr w:type="spellEnd"/>
      <w:r w:rsidRPr="0028531E">
        <w:rPr>
          <w:rFonts w:ascii="Bookman Old Style" w:eastAsia="TimesNewRomanPSMT" w:hAnsi="Bookman Old Style"/>
          <w:sz w:val="20"/>
          <w:szCs w:val="20"/>
        </w:rPr>
        <w:t xml:space="preserve"> procedure related to colorectal cancer predictors. Based on this, this research has a novelty value that must be investigated further to advance the health sector, especially the medical field in Indonesia.</w:t>
      </w:r>
    </w:p>
    <w:p w14:paraId="17DA6DDA" w14:textId="77777777" w:rsidR="005C3818" w:rsidRDefault="005C3818" w:rsidP="0028531E">
      <w:pPr>
        <w:jc w:val="both"/>
        <w:rPr>
          <w:rFonts w:ascii="Bookman Old Style" w:hAnsi="Bookman Old Style"/>
          <w:b/>
        </w:rPr>
      </w:pPr>
    </w:p>
    <w:p w14:paraId="2CEDB45D" w14:textId="31B4FE44" w:rsidR="0028531E" w:rsidRDefault="0028531E" w:rsidP="0028531E">
      <w:pPr>
        <w:jc w:val="both"/>
        <w:rPr>
          <w:rFonts w:ascii="Bookman Old Style" w:hAnsi="Bookman Old Style"/>
          <w:b/>
        </w:rPr>
      </w:pPr>
      <w:r w:rsidRPr="0028531E">
        <w:rPr>
          <w:rFonts w:ascii="Bookman Old Style" w:hAnsi="Bookman Old Style"/>
          <w:b/>
        </w:rPr>
        <w:t>Conclusion</w:t>
      </w:r>
    </w:p>
    <w:p w14:paraId="078B47C8" w14:textId="77777777" w:rsidR="005C3818" w:rsidRPr="0028531E" w:rsidRDefault="005C3818" w:rsidP="0028531E">
      <w:pPr>
        <w:jc w:val="both"/>
        <w:rPr>
          <w:rFonts w:ascii="Bookman Old Style" w:eastAsia="Helvetica Neue" w:hAnsi="Bookman Old Style"/>
          <w:color w:val="000000"/>
        </w:rPr>
      </w:pPr>
    </w:p>
    <w:p w14:paraId="362D0CA8" w14:textId="207F0F48" w:rsidR="0028531E" w:rsidRDefault="0028531E" w:rsidP="0028531E">
      <w:pPr>
        <w:pStyle w:val="ListParagraph"/>
        <w:autoSpaceDE w:val="0"/>
        <w:autoSpaceDN w:val="0"/>
        <w:adjustRightInd w:val="0"/>
        <w:spacing w:after="0" w:line="240" w:lineRule="auto"/>
        <w:ind w:left="0"/>
        <w:jc w:val="both"/>
        <w:rPr>
          <w:rFonts w:ascii="Bookman Old Style" w:eastAsia="TimesNewRomanPSMT" w:hAnsi="Bookman Old Style"/>
          <w:sz w:val="20"/>
          <w:szCs w:val="20"/>
        </w:rPr>
      </w:pPr>
      <w:r w:rsidRPr="0028531E">
        <w:rPr>
          <w:rFonts w:ascii="Bookman Old Style" w:eastAsia="TimesNewRomanPSMT" w:hAnsi="Bookman Old Style"/>
          <w:sz w:val="20"/>
          <w:szCs w:val="20"/>
        </w:rPr>
        <w:t>From the results of this study, it can be concluded that there is a significant relationship between TIMP-1 levels and colorectal cancer, where TIMP-1 is a good predictor of colorectal cancer incidence and has high sensitivity and specificity values.</w:t>
      </w:r>
    </w:p>
    <w:p w14:paraId="794B5DB2" w14:textId="77777777" w:rsidR="0028531E" w:rsidRPr="0028531E" w:rsidRDefault="0028531E" w:rsidP="0028531E">
      <w:pPr>
        <w:pStyle w:val="ListParagraph"/>
        <w:autoSpaceDE w:val="0"/>
        <w:autoSpaceDN w:val="0"/>
        <w:adjustRightInd w:val="0"/>
        <w:spacing w:after="0" w:line="240" w:lineRule="auto"/>
        <w:ind w:left="0"/>
        <w:jc w:val="both"/>
        <w:rPr>
          <w:rFonts w:ascii="Bookman Old Style" w:eastAsia="TimesNewRomanPSMT" w:hAnsi="Bookman Old Style"/>
          <w:sz w:val="20"/>
          <w:szCs w:val="20"/>
        </w:rPr>
      </w:pPr>
    </w:p>
    <w:p w14:paraId="5B567F9B" w14:textId="77777777" w:rsidR="0028531E" w:rsidRPr="0028531E" w:rsidRDefault="0028531E" w:rsidP="0028531E">
      <w:pPr>
        <w:jc w:val="both"/>
        <w:rPr>
          <w:rFonts w:ascii="Bookman Old Style" w:hAnsi="Bookman Old Style"/>
          <w:b/>
          <w:bCs/>
        </w:rPr>
      </w:pPr>
      <w:r w:rsidRPr="0028531E">
        <w:rPr>
          <w:rFonts w:ascii="Bookman Old Style" w:hAnsi="Bookman Old Style"/>
          <w:b/>
          <w:bCs/>
        </w:rPr>
        <w:lastRenderedPageBreak/>
        <w:t>Acknowledgments</w:t>
      </w:r>
    </w:p>
    <w:p w14:paraId="206A4696" w14:textId="77777777" w:rsidR="0028531E" w:rsidRPr="0028531E" w:rsidRDefault="0028531E" w:rsidP="0028531E">
      <w:pPr>
        <w:jc w:val="both"/>
        <w:rPr>
          <w:rFonts w:ascii="Bookman Old Style" w:hAnsi="Bookman Old Style"/>
        </w:rPr>
      </w:pPr>
    </w:p>
    <w:p w14:paraId="2822A3D6" w14:textId="77777777" w:rsidR="0028531E" w:rsidRPr="0028531E" w:rsidRDefault="0028531E" w:rsidP="0028531E">
      <w:pPr>
        <w:jc w:val="both"/>
        <w:rPr>
          <w:rFonts w:ascii="Bookman Old Style" w:hAnsi="Bookman Old Style"/>
        </w:rPr>
      </w:pPr>
      <w:r w:rsidRPr="0028531E">
        <w:rPr>
          <w:rFonts w:ascii="Bookman Old Style" w:hAnsi="Bookman Old Style"/>
        </w:rPr>
        <w:t>All patients, all authors, and I are grateful to two anonymous reviewers for their valuable comments on the earlier version of this paper.</w:t>
      </w:r>
    </w:p>
    <w:p w14:paraId="53F41D2F" w14:textId="77777777" w:rsidR="0028531E" w:rsidRPr="0028531E" w:rsidRDefault="0028531E" w:rsidP="0028531E">
      <w:pPr>
        <w:jc w:val="both"/>
        <w:rPr>
          <w:rFonts w:ascii="Bookman Old Style" w:hAnsi="Bookman Old Style"/>
        </w:rPr>
      </w:pPr>
    </w:p>
    <w:p w14:paraId="5710891C" w14:textId="375EE0B0" w:rsidR="0028531E" w:rsidRDefault="0028531E" w:rsidP="0028531E">
      <w:pPr>
        <w:jc w:val="both"/>
        <w:rPr>
          <w:rFonts w:ascii="Bookman Old Style" w:hAnsi="Bookman Old Style"/>
          <w:b/>
        </w:rPr>
      </w:pPr>
      <w:bookmarkStart w:id="2" w:name="References"/>
      <w:r w:rsidRPr="0028531E">
        <w:rPr>
          <w:rFonts w:ascii="Bookman Old Style" w:hAnsi="Bookman Old Style"/>
          <w:b/>
        </w:rPr>
        <w:t>References</w:t>
      </w:r>
      <w:bookmarkEnd w:id="2"/>
    </w:p>
    <w:p w14:paraId="4DDE9774" w14:textId="77777777" w:rsidR="00F1452D" w:rsidRPr="0028531E" w:rsidRDefault="00F1452D" w:rsidP="0028531E">
      <w:pPr>
        <w:jc w:val="both"/>
        <w:rPr>
          <w:rFonts w:ascii="Bookman Old Style" w:hAnsi="Bookman Old Style"/>
          <w:b/>
        </w:rPr>
      </w:pPr>
    </w:p>
    <w:p w14:paraId="3068ECBC"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noProof/>
        </w:rPr>
        <w:fldChar w:fldCharType="begin" w:fldLock="1"/>
      </w:r>
      <w:r w:rsidRPr="0028531E">
        <w:rPr>
          <w:rFonts w:ascii="Bookman Old Style" w:hAnsi="Bookman Old Style"/>
          <w:noProof/>
        </w:rPr>
        <w:instrText xml:space="preserve">ADDIN Mendeley Bibliography CSL_BIBLIOGRAPHY </w:instrText>
      </w:r>
      <w:r w:rsidRPr="0028531E">
        <w:rPr>
          <w:rFonts w:ascii="Bookman Old Style" w:hAnsi="Bookman Old Style"/>
          <w:noProof/>
        </w:rPr>
        <w:fldChar w:fldCharType="separate"/>
      </w:r>
      <w:r w:rsidRPr="0028531E">
        <w:rPr>
          <w:rFonts w:ascii="Bookman Old Style" w:hAnsi="Bookman Old Style" w:cs="Kokila"/>
          <w:noProof/>
        </w:rPr>
        <w:t xml:space="preserve">Batra, J., Robinson, J., Soares, A.S., Fields, A.P., Radisky, D.C. and Radisky, E.S. (2012) 'Matrix metalloproteinase-10 (MMP-10) interaction with tissue inhibitors of metalloproteinases TIMP-1 and TIMP-2: binding studies and crystal structure.', </w:t>
      </w:r>
      <w:r w:rsidRPr="0028531E">
        <w:rPr>
          <w:rFonts w:ascii="Bookman Old Style" w:hAnsi="Bookman Old Style" w:cs="Kokila"/>
          <w:i/>
          <w:iCs/>
          <w:noProof/>
        </w:rPr>
        <w:t>The Journal of biological chemistry</w:t>
      </w:r>
      <w:r w:rsidRPr="0028531E">
        <w:rPr>
          <w:rFonts w:ascii="Bookman Old Style" w:hAnsi="Bookman Old Style" w:cs="Kokila"/>
          <w:noProof/>
        </w:rPr>
        <w:t>, 287(19), pp. 15935–15946. Available at: https://doi.org/10.1074/jbc.M112.341156.</w:t>
      </w:r>
    </w:p>
    <w:p w14:paraId="444EC1E9"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Bray, F., Ferlay, J., Soerjomataram, I., Siegel, R.L., Torre, L.A. and Jemal, A. (2018) ‘Global cancer statistics 2018: GLOBOCAN estimates of incidence and mortality worldwide for 36 cancers in 185 countries’, </w:t>
      </w:r>
      <w:r w:rsidRPr="0028531E">
        <w:rPr>
          <w:rFonts w:ascii="Bookman Old Style" w:hAnsi="Bookman Old Style" w:cs="Kokila"/>
          <w:i/>
          <w:iCs/>
          <w:noProof/>
        </w:rPr>
        <w:t>CA: A Cancer Journal for Clinicians</w:t>
      </w:r>
      <w:r w:rsidRPr="0028531E">
        <w:rPr>
          <w:rFonts w:ascii="Bookman Old Style" w:hAnsi="Bookman Old Style" w:cs="Kokila"/>
          <w:noProof/>
        </w:rPr>
        <w:t>, 68(6), pp. 394–424. Available at: https://doi.org/10.3322/caac.21492.</w:t>
      </w:r>
    </w:p>
    <w:p w14:paraId="1C71EAC7"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Granados-Romero, J.J., Valderrama-Treviño, A.I., Contreras-Flores, E.H., Barrera-Mera, B., Herrera Enríquez, M., Uriarte-Ruíz, K., Ceballos-Villalba, J.C., Estrada-Mata, A.G., Alvarado Rodríguez, C. and Arauz-Peña, G. (2017) ‘Colorectal cancer: a review’, </w:t>
      </w:r>
      <w:r w:rsidRPr="0028531E">
        <w:rPr>
          <w:rFonts w:ascii="Bookman Old Style" w:hAnsi="Bookman Old Style" w:cs="Kokila"/>
          <w:i/>
          <w:iCs/>
          <w:noProof/>
        </w:rPr>
        <w:t>International Journal of Research in Medical Sciences</w:t>
      </w:r>
      <w:r w:rsidRPr="0028531E">
        <w:rPr>
          <w:rFonts w:ascii="Bookman Old Style" w:hAnsi="Bookman Old Style" w:cs="Kokila"/>
          <w:noProof/>
        </w:rPr>
        <w:t>, 5(11), p. 4667. Available at: https://doi.org/10.18203/2320-6012.ijrms20174914.</w:t>
      </w:r>
    </w:p>
    <w:p w14:paraId="594893AE"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Heitman, S.J., Ronksley, P.E., Hilsden, R.J., Manns, B.J., Rostom, A. and Hemmelgarn, B.R. (2009) ‘Prevalence of Adenomas and Colorectal Cancer in Average Risk Individuals: A Systematic Review and Meta-analysis’, </w:t>
      </w:r>
      <w:r w:rsidRPr="0028531E">
        <w:rPr>
          <w:rFonts w:ascii="Bookman Old Style" w:hAnsi="Bookman Old Style" w:cs="Kokila"/>
          <w:i/>
          <w:iCs/>
          <w:noProof/>
        </w:rPr>
        <w:t>Clinical Gastroenterology and Hepatology</w:t>
      </w:r>
      <w:r w:rsidRPr="0028531E">
        <w:rPr>
          <w:rFonts w:ascii="Bookman Old Style" w:hAnsi="Bookman Old Style" w:cs="Kokila"/>
          <w:noProof/>
        </w:rPr>
        <w:t>, 7(12), pp. 1272–1278. Available at: https://doi.org/10.1016/j.cgh.2009.05.032.</w:t>
      </w:r>
    </w:p>
    <w:p w14:paraId="50566DAD"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Holten-Andersen, M., Nielsen, H., Sørensen, S. and Al., E. (2006) ‘Tissue inhibitor of metalloproteinases-1 in the postoperative monitoring of colorectal cancer’, </w:t>
      </w:r>
      <w:r w:rsidRPr="0028531E">
        <w:rPr>
          <w:rFonts w:ascii="Bookman Old Style" w:hAnsi="Bookman Old Style" w:cs="Kokila"/>
          <w:i/>
          <w:iCs/>
          <w:noProof/>
        </w:rPr>
        <w:t>Eur J Cancer</w:t>
      </w:r>
      <w:r w:rsidRPr="0028531E">
        <w:rPr>
          <w:rFonts w:ascii="Bookman Old Style" w:hAnsi="Bookman Old Style" w:cs="Kokila"/>
          <w:noProof/>
        </w:rPr>
        <w:t>, 42(12), pp. 1889–96.</w:t>
      </w:r>
    </w:p>
    <w:p w14:paraId="1EBA5C2B"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Ishida, H., Murata, N., Hayashi, Y. and Al., E. (2003) ‘Serum levels of tissue inhibitor of metalloproteinases-1 (TIMP-1) in colorectal cancer patients.’, </w:t>
      </w:r>
      <w:r w:rsidRPr="0028531E">
        <w:rPr>
          <w:rFonts w:ascii="Bookman Old Style" w:hAnsi="Bookman Old Style" w:cs="Kokila"/>
          <w:i/>
          <w:iCs/>
          <w:noProof/>
        </w:rPr>
        <w:t>Surg Today</w:t>
      </w:r>
      <w:r w:rsidRPr="0028531E">
        <w:rPr>
          <w:rFonts w:ascii="Bookman Old Style" w:hAnsi="Bookman Old Style" w:cs="Kokila"/>
          <w:noProof/>
        </w:rPr>
        <w:t>, 33, pp. 885–92.</w:t>
      </w:r>
    </w:p>
    <w:p w14:paraId="6E6E9AAF"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Jan, S., Kimman, M., Kingston, D. and Woodward, M. (2012) 'The socioeconomic burden of cancer in member countries of the association of southeast Asian nations (ASEAN) - Stakeholder meeting report', </w:t>
      </w:r>
      <w:r w:rsidRPr="0028531E">
        <w:rPr>
          <w:rFonts w:ascii="Bookman Old Style" w:hAnsi="Bookman Old Style" w:cs="Kokila"/>
          <w:i/>
          <w:iCs/>
          <w:noProof/>
        </w:rPr>
        <w:t>Asian Pacific Journal of Cancer Prevention</w:t>
      </w:r>
      <w:r w:rsidRPr="0028531E">
        <w:rPr>
          <w:rFonts w:ascii="Bookman Old Style" w:hAnsi="Bookman Old Style" w:cs="Kokila"/>
          <w:noProof/>
        </w:rPr>
        <w:t>, 13(2), pp. 407–409. Available at: https://doi.org/10.7314/APJCP.2012.13.2.407.</w:t>
      </w:r>
    </w:p>
    <w:p w14:paraId="24312D34"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Kostourou, V., Lechertier, T., Reynolds, L.E., Lees, D.M., Baker, M., Jones, D.T., Tavora, B., Ramjaun, A.R., Birdsey, G.M., Robinson, S.D., Parsons, M., Randi, A.M., Hart, I.R. and Hodivala-Dilke, K. (2013) ‘FAK-heterozygous mice display enhanced tumour angiogenesis.’, </w:t>
      </w:r>
      <w:r w:rsidRPr="0028531E">
        <w:rPr>
          <w:rFonts w:ascii="Bookman Old Style" w:hAnsi="Bookman Old Style" w:cs="Kokila"/>
          <w:i/>
          <w:iCs/>
          <w:noProof/>
        </w:rPr>
        <w:t>Nature communications</w:t>
      </w:r>
      <w:r w:rsidRPr="0028531E">
        <w:rPr>
          <w:rFonts w:ascii="Bookman Old Style" w:hAnsi="Bookman Old Style" w:cs="Kokila"/>
          <w:noProof/>
        </w:rPr>
        <w:t>, 4, p. 2020. Available at: https://doi.org/10.1038/ncomms3020.</w:t>
      </w:r>
    </w:p>
    <w:p w14:paraId="0D9FE0A9"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Meng, C., Yin, X., Liu, J., Tang, K., Tang, H. and Liao, J. (2018) 'TIMP-1 is a novel serum biomarker for the diagnosis of colorectal cancer: A meta-analysis, </w:t>
      </w:r>
      <w:r w:rsidRPr="0028531E">
        <w:rPr>
          <w:rFonts w:ascii="Bookman Old Style" w:hAnsi="Bookman Old Style" w:cs="Kokila"/>
          <w:i/>
          <w:iCs/>
          <w:noProof/>
        </w:rPr>
        <w:t>PLoS ONE</w:t>
      </w:r>
      <w:r w:rsidRPr="0028531E">
        <w:rPr>
          <w:rFonts w:ascii="Bookman Old Style" w:hAnsi="Bookman Old Style" w:cs="Kokila"/>
          <w:noProof/>
        </w:rPr>
        <w:t>, 13(11), pp. 1–15. Available at: https://doi.org/10.1371/journal.pone.0207039.</w:t>
      </w:r>
    </w:p>
    <w:p w14:paraId="497A72C9"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Min, B.S., Kim, N.K., Jeong, H.C. and Chung, H.C. (2012) ‘High levels of serum VEGF and TIMP-1 are correlated with colon cancer liver metastasis and </w:t>
      </w:r>
      <w:r w:rsidRPr="0028531E">
        <w:rPr>
          <w:rFonts w:ascii="Bookman Old Style" w:hAnsi="Bookman Old Style" w:cs="Kokila"/>
          <w:noProof/>
        </w:rPr>
        <w:lastRenderedPageBreak/>
        <w:t xml:space="preserve">intrahepatic recurrence after liver resection’, </w:t>
      </w:r>
      <w:r w:rsidRPr="0028531E">
        <w:rPr>
          <w:rFonts w:ascii="Bookman Old Style" w:hAnsi="Bookman Old Style" w:cs="Kokila"/>
          <w:i/>
          <w:iCs/>
          <w:noProof/>
        </w:rPr>
        <w:t>Oncology Letters</w:t>
      </w:r>
      <w:r w:rsidRPr="0028531E">
        <w:rPr>
          <w:rFonts w:ascii="Bookman Old Style" w:hAnsi="Bookman Old Style" w:cs="Kokila"/>
          <w:noProof/>
        </w:rPr>
        <w:t>, 4(1), pp. 123–130. Available at: https://doi.org/10.3892/ol.2012.691.</w:t>
      </w:r>
    </w:p>
    <w:p w14:paraId="7992561E"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Møller Sørensen, N., Vejgaard Sørensen, I., Ørnbjerg Wurtz, S., School, A.S., Dowell, B., Davis, G., Jarle Christensen, I., Jørgen Nielsen, H. and Brünner, N. (2008) 'Biology and potential clinical implications of tissue inhibitor of metalloproteinases-1 in colorectal cancer treatment', </w:t>
      </w:r>
      <w:r w:rsidRPr="0028531E">
        <w:rPr>
          <w:rFonts w:ascii="Bookman Old Style" w:hAnsi="Bookman Old Style" w:cs="Kokila"/>
          <w:i/>
          <w:iCs/>
          <w:noProof/>
        </w:rPr>
        <w:t>Scandinavian Journal of Gastroenterology</w:t>
      </w:r>
      <w:r w:rsidRPr="0028531E">
        <w:rPr>
          <w:rFonts w:ascii="Bookman Old Style" w:hAnsi="Bookman Old Style" w:cs="Kokila"/>
          <w:noProof/>
        </w:rPr>
        <w:t>, 43(7), pp. 774–786. Available at: https://doi.org/10.1080/00365520701878163.</w:t>
      </w:r>
    </w:p>
    <w:p w14:paraId="7DFEB993"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Niewiarowska, K., Pryczynicz, A., Dymicka-Piekarska, V., Gryko, M., Cepowicz, D., Famulski, W., Kemona, A. and Guzińska-Ustymowicz, K. (2014) 'Diagnostic significance of TIMP-1 level in serum and its immunohistochemical expression in colorectal cancer patients, </w:t>
      </w:r>
      <w:r w:rsidRPr="0028531E">
        <w:rPr>
          <w:rFonts w:ascii="Bookman Old Style" w:hAnsi="Bookman Old Style" w:cs="Kokila"/>
          <w:i/>
          <w:iCs/>
          <w:noProof/>
        </w:rPr>
        <w:t>Polish Journal of Pathology</w:t>
      </w:r>
      <w:r w:rsidRPr="0028531E">
        <w:rPr>
          <w:rFonts w:ascii="Bookman Old Style" w:hAnsi="Bookman Old Style" w:cs="Kokila"/>
          <w:noProof/>
        </w:rPr>
        <w:t>, 65(4), pp. 296–304. Available at: https://doi.org/10.5114/pjp.2014.48191.</w:t>
      </w:r>
    </w:p>
    <w:p w14:paraId="30224632"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Oudart, J.-B., Doué, M., Vautrin, A., Brassart, B., Sellier, C., Dupont-Deshorgue, A., Monboisse, J.-C., Maquart, F.-X., Brassart-Pasco, S. and Ramont, L. (2016) ‘The anti-tumor NC1 domain of collagen XIX inhibits the FAK/ PI3K/Akt/mTOR signaling  pathway through αvβ3 integrin interaction.’, </w:t>
      </w:r>
      <w:r w:rsidRPr="0028531E">
        <w:rPr>
          <w:rFonts w:ascii="Bookman Old Style" w:hAnsi="Bookman Old Style" w:cs="Kokila"/>
          <w:i/>
          <w:iCs/>
          <w:noProof/>
        </w:rPr>
        <w:t>Oncotarget</w:t>
      </w:r>
      <w:r w:rsidRPr="0028531E">
        <w:rPr>
          <w:rFonts w:ascii="Bookman Old Style" w:hAnsi="Bookman Old Style" w:cs="Kokila"/>
          <w:noProof/>
        </w:rPr>
        <w:t>, 7(2), pp. 1516–1528. Available at: https://doi.org/10.18632/oncotarget.6399.</w:t>
      </w:r>
    </w:p>
    <w:p w14:paraId="2DEBC781"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Song, G., Xu, S., Zhang, H., Wang, Y., Xiao, C., Jiang, T., Wu, L., Zhang, T., Sun, X., Zhong, L., Zhou, C., Wang, Z., Peng, Z., Chen, J. and Wang, X. (2016) ‘TIMP1 is a prognostic marker for the progression and metastasis of colon cancer through FAK-PI3K/AKT and MAPK pathway’, </w:t>
      </w:r>
      <w:r w:rsidRPr="0028531E">
        <w:rPr>
          <w:rFonts w:ascii="Bookman Old Style" w:hAnsi="Bookman Old Style" w:cs="Kokila"/>
          <w:i/>
          <w:iCs/>
          <w:noProof/>
        </w:rPr>
        <w:t>Journal of Experimental &amp; Clinical Cancer Research</w:t>
      </w:r>
      <w:r w:rsidRPr="0028531E">
        <w:rPr>
          <w:rFonts w:ascii="Bookman Old Style" w:hAnsi="Bookman Old Style" w:cs="Kokila"/>
          <w:noProof/>
        </w:rPr>
        <w:t>, 35(1), p. 148. Available at: https://doi.org/10.1186/s13046-016-0427-7.</w:t>
      </w:r>
    </w:p>
    <w:p w14:paraId="49516373"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Sørensen, N.M., Byström, P., Christensen, I.J., Berglund, Å., Nielsen, H.J., Brünner, N. and Glimelius, B. (2007) 'TIMP-1 is significantly associated with objective response and survival in metastatic colorectal cancer patients receiving combination of irinotecan, 5-fluorouracil, and folinic acid, </w:t>
      </w:r>
      <w:r w:rsidRPr="0028531E">
        <w:rPr>
          <w:rFonts w:ascii="Bookman Old Style" w:hAnsi="Bookman Old Style" w:cs="Kokila"/>
          <w:i/>
          <w:iCs/>
          <w:noProof/>
        </w:rPr>
        <w:t>Clinical Cancer Research</w:t>
      </w:r>
      <w:r w:rsidRPr="0028531E">
        <w:rPr>
          <w:rFonts w:ascii="Bookman Old Style" w:hAnsi="Bookman Old Style" w:cs="Kokila"/>
          <w:noProof/>
        </w:rPr>
        <w:t>, 13(14), pp. 4117–4122. Available at: https://doi.org/10.1158/1078-0432.CCR-07-0186.</w:t>
      </w:r>
    </w:p>
    <w:p w14:paraId="52610679" w14:textId="77777777" w:rsidR="0028531E" w:rsidRPr="0028531E" w:rsidRDefault="0028531E" w:rsidP="00F95619">
      <w:pPr>
        <w:widowControl w:val="0"/>
        <w:autoSpaceDE w:val="0"/>
        <w:autoSpaceDN w:val="0"/>
        <w:adjustRightInd w:val="0"/>
        <w:ind w:left="426" w:hanging="426"/>
        <w:jc w:val="both"/>
        <w:rPr>
          <w:rFonts w:ascii="Bookman Old Style" w:hAnsi="Bookman Old Style" w:cs="Kokila"/>
          <w:noProof/>
        </w:rPr>
      </w:pPr>
      <w:r w:rsidRPr="0028531E">
        <w:rPr>
          <w:rFonts w:ascii="Bookman Old Style" w:hAnsi="Bookman Old Style" w:cs="Kokila"/>
          <w:noProof/>
        </w:rPr>
        <w:t xml:space="preserve">Vočka, M., Langer, D., Fryba, V., Petrtyl, J., Hanus, T., Kalousova, M., Zima, T. and Petruzelka, L. (2019) ‘Serum levels of TIMP-1 and MMP-7 as potential biomarkers in patients with metastatic colorectal cancer’, </w:t>
      </w:r>
      <w:r w:rsidRPr="0028531E">
        <w:rPr>
          <w:rFonts w:ascii="Bookman Old Style" w:hAnsi="Bookman Old Style" w:cs="Kokila"/>
          <w:i/>
          <w:iCs/>
          <w:noProof/>
        </w:rPr>
        <w:t>International Journal of Biological Markers</w:t>
      </w:r>
      <w:r w:rsidRPr="0028531E">
        <w:rPr>
          <w:rFonts w:ascii="Bookman Old Style" w:hAnsi="Bookman Old Style" w:cs="Kokila"/>
          <w:noProof/>
        </w:rPr>
        <w:t>, 34(3), pp. 292–301. Available at: https://doi.org/10.1177/1724600819866202.</w:t>
      </w:r>
    </w:p>
    <w:p w14:paraId="6F4225AC" w14:textId="77777777" w:rsidR="0028531E" w:rsidRPr="0028531E" w:rsidRDefault="0028531E" w:rsidP="00F95619">
      <w:pPr>
        <w:widowControl w:val="0"/>
        <w:autoSpaceDE w:val="0"/>
        <w:autoSpaceDN w:val="0"/>
        <w:adjustRightInd w:val="0"/>
        <w:ind w:left="426" w:hanging="426"/>
        <w:jc w:val="both"/>
        <w:rPr>
          <w:rFonts w:ascii="Bookman Old Style" w:hAnsi="Bookman Old Style"/>
          <w:noProof/>
        </w:rPr>
      </w:pPr>
      <w:r w:rsidRPr="0028531E">
        <w:rPr>
          <w:rFonts w:ascii="Bookman Old Style" w:hAnsi="Bookman Old Style" w:cs="Kokila"/>
          <w:noProof/>
        </w:rPr>
        <w:t xml:space="preserve">Waas, E., Hendriks, T., Lomme, R. and T., W. (2005) ‘Plasma levels of matrix metalloproteinase-2 and tissue inhibitor of metalloproteinase-1 correlate with disease stage and survival in colorectal cancer patients.’, </w:t>
      </w:r>
      <w:r w:rsidRPr="0028531E">
        <w:rPr>
          <w:rFonts w:ascii="Bookman Old Style" w:hAnsi="Bookman Old Style" w:cs="Kokila"/>
          <w:i/>
          <w:iCs/>
          <w:noProof/>
        </w:rPr>
        <w:t>Dis Colon Rectum</w:t>
      </w:r>
      <w:r w:rsidRPr="0028531E">
        <w:rPr>
          <w:rFonts w:ascii="Bookman Old Style" w:hAnsi="Bookman Old Style" w:cs="Kokila"/>
          <w:noProof/>
        </w:rPr>
        <w:t>, 48, pp. 700–10.</w:t>
      </w:r>
    </w:p>
    <w:p w14:paraId="57AC2FE5" w14:textId="77777777" w:rsidR="0028531E" w:rsidRPr="0028531E" w:rsidRDefault="0028531E" w:rsidP="00F95619">
      <w:pPr>
        <w:pStyle w:val="BodyText"/>
        <w:spacing w:after="0"/>
        <w:ind w:left="426" w:hanging="426"/>
        <w:jc w:val="both"/>
        <w:rPr>
          <w:rFonts w:ascii="Bookman Old Style" w:hAnsi="Bookman Old Style" w:cs="Kokila"/>
          <w:noProof/>
        </w:rPr>
      </w:pPr>
      <w:r w:rsidRPr="0028531E">
        <w:rPr>
          <w:rFonts w:ascii="Bookman Old Style" w:hAnsi="Bookman Old Style"/>
          <w:noProof/>
        </w:rPr>
        <w:fldChar w:fldCharType="end"/>
      </w:r>
    </w:p>
    <w:p w14:paraId="2219C723" w14:textId="77777777" w:rsidR="00910C44" w:rsidRPr="0028531E" w:rsidRDefault="00910C44" w:rsidP="00F95619">
      <w:pPr>
        <w:ind w:left="426" w:hanging="426"/>
        <w:jc w:val="both"/>
        <w:rPr>
          <w:rFonts w:ascii="Bookman Old Style" w:hAnsi="Bookman Old Style"/>
        </w:rPr>
      </w:pPr>
    </w:p>
    <w:sectPr w:rsidR="00910C44" w:rsidRPr="0028531E" w:rsidSect="001F165A">
      <w:headerReference w:type="even" r:id="rId14"/>
      <w:headerReference w:type="default" r:id="rId15"/>
      <w:headerReference w:type="first" r:id="rId16"/>
      <w:footerReference w:type="first" r:id="rId17"/>
      <w:footnotePr>
        <w:numFmt w:val="chicago"/>
      </w:footnotePr>
      <w:pgSz w:w="10892" w:h="14861" w:code="1"/>
      <w:pgMar w:top="1418" w:right="1418" w:bottom="1418" w:left="1418" w:header="1134" w:footer="1134" w:gutter="0"/>
      <w:pgNumType w:start="64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9CB3" w14:textId="77777777" w:rsidR="00CE0869" w:rsidRDefault="00CE0869">
      <w:r>
        <w:separator/>
      </w:r>
    </w:p>
  </w:endnote>
  <w:endnote w:type="continuationSeparator" w:id="0">
    <w:p w14:paraId="577C1063" w14:textId="77777777" w:rsidR="00CE0869" w:rsidRDefault="00CE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2A87" w:usb1="08070000" w:usb2="00000010" w:usb3="00000000" w:csb0="000201FF" w:csb1="00000000"/>
  </w:font>
  <w:font w:name="Cambria Math">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Kokila">
    <w:charset w:val="00"/>
    <w:family w:val="swiss"/>
    <w:pitch w:val="variable"/>
    <w:sig w:usb0="00008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2BD4" w14:textId="77777777" w:rsidR="00185B55" w:rsidRDefault="00000000" w:rsidP="004E02A1">
    <w:pPr>
      <w:pStyle w:val="Header"/>
      <w:ind w:right="51"/>
      <w:rPr>
        <w:rFonts w:ascii="Bookman Old Style" w:hAnsi="Bookman Old Style"/>
        <w:sz w:val="16"/>
        <w:szCs w:val="16"/>
      </w:rPr>
    </w:pPr>
    <w:r>
      <w:rPr>
        <w:rFonts w:ascii="Bookman Old Style" w:hAnsi="Bookman Old Style"/>
        <w:i/>
        <w:noProof/>
        <w:sz w:val="16"/>
        <w:szCs w:val="16"/>
      </w:rPr>
      <w:pict w14:anchorId="593FD316">
        <v:shape id="Shape 44" o:spid="_x0000_s1025" style="position:absolute;margin-left:.7pt;margin-top:-.6pt;width:402.15pt;height:3.55pt;z-index:251658240;visibility:visible;mso-wrap-style:square;mso-wrap-distance-left:9pt;mso-wrap-distance-top:0;mso-wrap-distance-right:9pt;mso-wrap-distance-bottom:0;mso-position-horizontal-relative:text;mso-position-vertical-relative:text;v-text-anchor:top" coordsize="57695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" adj="0,,0" path="m,l5769559,e" filled="f" strokeweight=".08783mm">
          <v:stroke miterlimit="83231f" joinstyle="miter"/>
          <v:formulas/>
          <v:path arrowok="t" o:connecttype="segments" textboxrect="0,0,5769559,0"/>
        </v:shape>
      </w:pict>
    </w:r>
  </w:p>
  <w:p w14:paraId="4A8B2F2B" w14:textId="77777777" w:rsidR="00521FAA" w:rsidRPr="00967961" w:rsidRDefault="00E92726" w:rsidP="0012508D">
    <w:pPr>
      <w:pStyle w:val="Header"/>
      <w:ind w:right="51"/>
      <w:rPr>
        <w:rFonts w:ascii="Rockwell" w:hAnsi="Rockwell"/>
        <w:i/>
        <w:sz w:val="16"/>
        <w:szCs w:val="16"/>
      </w:rPr>
    </w:pPr>
    <w:r w:rsidRPr="00E92726">
      <w:rPr>
        <w:rFonts w:ascii="Rockwell" w:hAnsi="Rockwell"/>
        <w:sz w:val="16"/>
        <w:szCs w:val="16"/>
      </w:rPr>
      <w:t>International Journal of Health Sciences</w:t>
    </w:r>
    <w:r>
      <w:rPr>
        <w:rFonts w:ascii="Rockwell" w:hAnsi="Rockwell"/>
        <w:sz w:val="16"/>
        <w:szCs w:val="16"/>
      </w:rPr>
      <w:t xml:space="preserve"> ISSN 2550-6978</w:t>
    </w:r>
    <w:r w:rsidR="008E4F5F">
      <w:rPr>
        <w:rFonts w:ascii="Rockwell" w:hAnsi="Rockwell"/>
        <w:sz w:val="16"/>
        <w:szCs w:val="16"/>
      </w:rPr>
      <w:t xml:space="preserve"> </w:t>
    </w:r>
    <w:r>
      <w:rPr>
        <w:rFonts w:ascii="Rockwell" w:hAnsi="Rockwell"/>
        <w:sz w:val="16"/>
        <w:szCs w:val="16"/>
      </w:rPr>
      <w:t>E</w:t>
    </w:r>
    <w:r w:rsidR="008E4F5F">
      <w:rPr>
        <w:rFonts w:ascii="Rockwell" w:hAnsi="Rockwell"/>
        <w:sz w:val="16"/>
        <w:szCs w:val="16"/>
      </w:rPr>
      <w:t>-</w:t>
    </w:r>
    <w:r>
      <w:rPr>
        <w:rFonts w:ascii="Rockwell" w:hAnsi="Rockwell"/>
        <w:sz w:val="16"/>
        <w:szCs w:val="16"/>
      </w:rPr>
      <w:t xml:space="preserve">ISSN </w:t>
    </w:r>
    <w:r w:rsidRPr="00E92726">
      <w:rPr>
        <w:rFonts w:ascii="Rockwell" w:hAnsi="Rockwell"/>
        <w:sz w:val="16"/>
        <w:szCs w:val="16"/>
      </w:rPr>
      <w:t>2550-696X</w:t>
    </w:r>
    <w:r>
      <w:rPr>
        <w:rFonts w:ascii="Rockwell" w:hAnsi="Rockwell"/>
        <w:sz w:val="16"/>
        <w:szCs w:val="16"/>
      </w:rPr>
      <w:t xml:space="preserve"> </w:t>
    </w:r>
    <w:r w:rsidR="004E02A1" w:rsidRPr="00967961">
      <w:rPr>
        <w:rFonts w:ascii="Rockwell" w:hAnsi="Rockwell"/>
        <w:sz w:val="16"/>
        <w:szCs w:val="16"/>
      </w:rPr>
      <w:t xml:space="preserve">© </w:t>
    </w:r>
    <w:r w:rsidR="00B74970">
      <w:rPr>
        <w:rFonts w:ascii="Rockwell" w:hAnsi="Rockwell"/>
        <w:sz w:val="16"/>
        <w:szCs w:val="16"/>
      </w:rPr>
      <w:t>2022</w:t>
    </w:r>
    <w:r w:rsidR="004E02A1" w:rsidRPr="00967961">
      <w:rPr>
        <w:rFonts w:ascii="Rockwell" w:hAnsi="Rockwell"/>
        <w:sz w:val="16"/>
        <w:szCs w:val="16"/>
      </w:rPr>
      <w:t>.</w:t>
    </w:r>
    <w:r w:rsidR="00521FAA" w:rsidRPr="00967961">
      <w:rPr>
        <w:rFonts w:ascii="Rockwell" w:hAnsi="Rockwell"/>
        <w:i/>
        <w:sz w:val="16"/>
        <w:szCs w:val="16"/>
      </w:rPr>
      <w:tab/>
    </w:r>
    <w:r w:rsidR="00521FAA" w:rsidRPr="00967961">
      <w:rPr>
        <w:rFonts w:ascii="Rockwell" w:hAnsi="Rockwell"/>
        <w:i/>
        <w:sz w:val="16"/>
        <w:szCs w:val="16"/>
      </w:rPr>
      <w:tab/>
    </w:r>
  </w:p>
  <w:p w14:paraId="589D6594" w14:textId="77777777" w:rsidR="0019296A" w:rsidRPr="00967961" w:rsidRDefault="003C71C8" w:rsidP="0019296A">
    <w:pPr>
      <w:pStyle w:val="Footer"/>
      <w:rPr>
        <w:rFonts w:ascii="Rockwell" w:hAnsi="Rockwell"/>
        <w:i/>
        <w:sz w:val="16"/>
        <w:szCs w:val="16"/>
      </w:rPr>
    </w:pPr>
    <w:r w:rsidRPr="00967961">
      <w:rPr>
        <w:rFonts w:ascii="Rockwell" w:hAnsi="Rockwell"/>
        <w:i/>
        <w:sz w:val="16"/>
        <w:szCs w:val="16"/>
      </w:rPr>
      <w:t xml:space="preserve">Manuscript submitted: </w:t>
    </w:r>
    <w:r w:rsidR="003D480C">
      <w:rPr>
        <w:rFonts w:ascii="Rockwell" w:hAnsi="Rockwell"/>
        <w:i/>
        <w:sz w:val="16"/>
        <w:szCs w:val="16"/>
      </w:rPr>
      <w:t>9</w:t>
    </w:r>
    <w:r w:rsidR="00B8407C">
      <w:rPr>
        <w:rFonts w:ascii="Rockwell" w:hAnsi="Rockwell"/>
        <w:i/>
        <w:sz w:val="16"/>
        <w:szCs w:val="16"/>
      </w:rPr>
      <w:t xml:space="preserve"> </w:t>
    </w:r>
    <w:r w:rsidR="002D1003">
      <w:rPr>
        <w:rFonts w:ascii="Rockwell" w:hAnsi="Rockwell"/>
        <w:i/>
        <w:sz w:val="16"/>
        <w:szCs w:val="16"/>
      </w:rPr>
      <w:t>May</w:t>
    </w:r>
    <w:r w:rsidR="00BE652A">
      <w:rPr>
        <w:rFonts w:ascii="Rockwell" w:hAnsi="Rockwell"/>
        <w:i/>
        <w:sz w:val="16"/>
        <w:szCs w:val="16"/>
      </w:rPr>
      <w:t xml:space="preserve"> 2022</w:t>
    </w:r>
    <w:r w:rsidR="002C5101" w:rsidRPr="00967961">
      <w:rPr>
        <w:rFonts w:ascii="Rockwell" w:hAnsi="Rockwell"/>
        <w:i/>
        <w:sz w:val="16"/>
        <w:szCs w:val="16"/>
      </w:rPr>
      <w:t xml:space="preserve">, Manuscript revised: </w:t>
    </w:r>
    <w:r w:rsidR="003D480C">
      <w:rPr>
        <w:rFonts w:ascii="Rockwell" w:hAnsi="Rockwell"/>
        <w:i/>
        <w:sz w:val="16"/>
        <w:szCs w:val="16"/>
      </w:rPr>
      <w:t>18</w:t>
    </w:r>
    <w:r w:rsidR="00BE652A">
      <w:rPr>
        <w:rFonts w:ascii="Rockwell" w:hAnsi="Rockwell"/>
        <w:i/>
        <w:sz w:val="16"/>
        <w:szCs w:val="16"/>
      </w:rPr>
      <w:t xml:space="preserve"> </w:t>
    </w:r>
    <w:r w:rsidR="002D1003">
      <w:rPr>
        <w:rFonts w:ascii="Rockwell" w:hAnsi="Rockwell"/>
        <w:i/>
        <w:sz w:val="16"/>
        <w:szCs w:val="16"/>
      </w:rPr>
      <w:t xml:space="preserve">July </w:t>
    </w:r>
    <w:r w:rsidR="00BE652A">
      <w:rPr>
        <w:rFonts w:ascii="Rockwell" w:hAnsi="Rockwell"/>
        <w:i/>
        <w:sz w:val="16"/>
        <w:szCs w:val="16"/>
      </w:rPr>
      <w:t>2022</w:t>
    </w:r>
    <w:r w:rsidR="002C5101" w:rsidRPr="00967961">
      <w:rPr>
        <w:rFonts w:ascii="Rockwell" w:hAnsi="Rockwell"/>
        <w:i/>
        <w:sz w:val="16"/>
        <w:szCs w:val="16"/>
      </w:rPr>
      <w:t xml:space="preserve">, Accepted for publication: </w:t>
    </w:r>
    <w:r w:rsidR="003D480C">
      <w:rPr>
        <w:rFonts w:ascii="Rockwell" w:hAnsi="Rockwell"/>
        <w:i/>
        <w:sz w:val="16"/>
        <w:szCs w:val="16"/>
      </w:rPr>
      <w:t>27</w:t>
    </w:r>
    <w:r w:rsidR="00BE652A">
      <w:rPr>
        <w:rFonts w:ascii="Rockwell" w:hAnsi="Rockwell"/>
        <w:i/>
        <w:sz w:val="16"/>
        <w:szCs w:val="16"/>
      </w:rPr>
      <w:t xml:space="preserve"> </w:t>
    </w:r>
    <w:r w:rsidR="002D1003">
      <w:rPr>
        <w:rFonts w:ascii="Rockwell" w:hAnsi="Rockwell"/>
        <w:i/>
        <w:sz w:val="16"/>
        <w:szCs w:val="16"/>
      </w:rPr>
      <w:t>August</w:t>
    </w:r>
    <w:r w:rsidR="003F62F2">
      <w:rPr>
        <w:rFonts w:ascii="Rockwell" w:hAnsi="Rockwell"/>
        <w:i/>
        <w:sz w:val="16"/>
        <w:szCs w:val="16"/>
      </w:rPr>
      <w:t xml:space="preserve"> </w:t>
    </w:r>
    <w:r w:rsidR="00BE652A">
      <w:rPr>
        <w:rFonts w:ascii="Rockwell" w:hAnsi="Rockwell"/>
        <w:i/>
        <w:sz w:val="16"/>
        <w:szCs w:val="16"/>
      </w:rPr>
      <w:t>2022</w:t>
    </w:r>
  </w:p>
  <w:p w14:paraId="294EBA41" w14:textId="394556EC" w:rsidR="00111543" w:rsidRDefault="001F165A" w:rsidP="001F165A">
    <w:pPr>
      <w:pStyle w:val="Footer"/>
      <w:jc w:val="right"/>
    </w:pPr>
    <w:r>
      <w:t>6401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A680F" w14:textId="77777777" w:rsidR="00CE0869" w:rsidRDefault="00CE0869">
      <w:r>
        <w:separator/>
      </w:r>
    </w:p>
  </w:footnote>
  <w:footnote w:type="continuationSeparator" w:id="0">
    <w:p w14:paraId="3DC2B301" w14:textId="77777777" w:rsidR="00CE0869" w:rsidRDefault="00CE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73AA" w14:textId="77777777" w:rsidR="00111543" w:rsidRPr="003D5B84" w:rsidRDefault="004B560E" w:rsidP="008B04B3">
    <w:pPr>
      <w:pStyle w:val="Header"/>
      <w:framePr w:wrap="around" w:vAnchor="text" w:hAnchor="margin" w:xAlign="outside" w:y="1"/>
      <w:rPr>
        <w:rStyle w:val="PageNumber"/>
      </w:rPr>
    </w:pPr>
    <w:r w:rsidRPr="003D5B84">
      <w:rPr>
        <w:rStyle w:val="PageNumber"/>
      </w:rPr>
      <w:fldChar w:fldCharType="begin"/>
    </w:r>
    <w:r w:rsidR="00111543" w:rsidRPr="003D5B84">
      <w:rPr>
        <w:rStyle w:val="PageNumber"/>
      </w:rPr>
      <w:instrText xml:space="preserve">PAGE  </w:instrText>
    </w:r>
    <w:r w:rsidRPr="003D5B84">
      <w:rPr>
        <w:rStyle w:val="PageNumber"/>
      </w:rPr>
      <w:fldChar w:fldCharType="separate"/>
    </w:r>
    <w:r w:rsidR="002D1003">
      <w:rPr>
        <w:rStyle w:val="PageNumber"/>
        <w:noProof/>
      </w:rPr>
      <w:t>2</w:t>
    </w:r>
    <w:r w:rsidRPr="003D5B84">
      <w:rPr>
        <w:rStyle w:val="PageNumber"/>
      </w:rPr>
      <w:fldChar w:fldCharType="end"/>
    </w:r>
  </w:p>
  <w:p w14:paraId="0DBC20BF" w14:textId="77777777" w:rsidR="000A54FE" w:rsidRDefault="005561EF" w:rsidP="003876F6">
    <w:pPr>
      <w:pStyle w:val="Header"/>
      <w:tabs>
        <w:tab w:val="clear" w:pos="4320"/>
        <w:tab w:val="clear" w:pos="8640"/>
        <w:tab w:val="right" w:pos="851"/>
        <w:tab w:val="left" w:pos="3405"/>
        <w:tab w:val="right" w:pos="9356"/>
      </w:tabs>
      <w:spacing w:after="240"/>
    </w:pPr>
    <w:r>
      <w:t xml:space="preserve">       </w:t>
    </w:r>
    <w:r w:rsidR="00111543" w:rsidRPr="003D5B8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4F0A" w14:textId="77777777" w:rsidR="00111543" w:rsidRPr="003D5B84" w:rsidRDefault="004B560E" w:rsidP="00F173DD">
    <w:pPr>
      <w:pStyle w:val="Header"/>
      <w:framePr w:wrap="around" w:vAnchor="text" w:hAnchor="margin" w:xAlign="outside" w:y="1"/>
      <w:rPr>
        <w:rStyle w:val="PageNumber"/>
      </w:rPr>
    </w:pPr>
    <w:r w:rsidRPr="003D5B84">
      <w:rPr>
        <w:rStyle w:val="PageNumber"/>
      </w:rPr>
      <w:fldChar w:fldCharType="begin"/>
    </w:r>
    <w:r w:rsidR="00111543" w:rsidRPr="003D5B84">
      <w:rPr>
        <w:rStyle w:val="PageNumber"/>
      </w:rPr>
      <w:instrText xml:space="preserve">PAGE  </w:instrText>
    </w:r>
    <w:r w:rsidRPr="003D5B84">
      <w:rPr>
        <w:rStyle w:val="PageNumber"/>
      </w:rPr>
      <w:fldChar w:fldCharType="separate"/>
    </w:r>
    <w:r w:rsidR="002D1003">
      <w:rPr>
        <w:rStyle w:val="PageNumber"/>
        <w:noProof/>
      </w:rPr>
      <w:t>3</w:t>
    </w:r>
    <w:r w:rsidRPr="003D5B84">
      <w:rPr>
        <w:rStyle w:val="PageNumber"/>
      </w:rPr>
      <w:fldChar w:fldCharType="end"/>
    </w:r>
  </w:p>
  <w:p w14:paraId="362DF937" w14:textId="77777777" w:rsidR="000A54FE" w:rsidRDefault="000A54FE"/>
  <w:p w14:paraId="1CBE90DE" w14:textId="77777777" w:rsidR="000A54FE" w:rsidRDefault="000A54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7DDB" w14:textId="77777777" w:rsidR="00AA4DBA" w:rsidRPr="00967961" w:rsidRDefault="00AA4DBA" w:rsidP="00AA4DBA">
    <w:pPr>
      <w:pStyle w:val="Header"/>
      <w:ind w:right="51"/>
      <w:rPr>
        <w:rFonts w:ascii="Rockwell" w:hAnsi="Rockwell"/>
        <w:sz w:val="16"/>
        <w:szCs w:val="16"/>
      </w:rPr>
    </w:pPr>
    <w:r w:rsidRPr="002255E8">
      <w:rPr>
        <w:rFonts w:ascii="Rockwell" w:hAnsi="Rockwell"/>
        <w:b/>
        <w:sz w:val="16"/>
        <w:szCs w:val="16"/>
      </w:rPr>
      <w:t>How to Cite</w:t>
    </w:r>
    <w:r w:rsidRPr="00967961">
      <w:rPr>
        <w:rFonts w:ascii="Rockwell" w:hAnsi="Rockwell"/>
        <w:sz w:val="16"/>
        <w:szCs w:val="16"/>
      </w:rPr>
      <w:t>:</w:t>
    </w:r>
  </w:p>
  <w:p w14:paraId="5F18F6A6" w14:textId="4C19F84C" w:rsidR="00AA4DBA" w:rsidRPr="00F95619" w:rsidRDefault="00F95619" w:rsidP="00AA4DBA">
    <w:pPr>
      <w:pStyle w:val="Header"/>
      <w:ind w:right="51"/>
      <w:rPr>
        <w:rFonts w:ascii="Bookman Old Style" w:hAnsi="Bookman Old Style"/>
        <w:sz w:val="18"/>
        <w:szCs w:val="18"/>
      </w:rPr>
    </w:pPr>
    <w:proofErr w:type="spellStart"/>
    <w:r w:rsidRPr="00F95619">
      <w:rPr>
        <w:rFonts w:ascii="Bookman Old Style" w:hAnsi="Bookman Old Style" w:cs="Segoe UI"/>
        <w:color w:val="212529"/>
        <w:sz w:val="16"/>
        <w:szCs w:val="16"/>
      </w:rPr>
      <w:t>uryapranata</w:t>
    </w:r>
    <w:proofErr w:type="spellEnd"/>
    <w:r w:rsidRPr="00F95619">
      <w:rPr>
        <w:rFonts w:ascii="Bookman Old Style" w:hAnsi="Bookman Old Style" w:cs="Segoe UI"/>
        <w:color w:val="212529"/>
        <w:sz w:val="16"/>
        <w:szCs w:val="16"/>
      </w:rPr>
      <w:t xml:space="preserve">, I. G. A. G. D. P., </w:t>
    </w:r>
    <w:proofErr w:type="spellStart"/>
    <w:r w:rsidRPr="00F95619">
      <w:rPr>
        <w:rFonts w:ascii="Bookman Old Style" w:hAnsi="Bookman Old Style" w:cs="Segoe UI"/>
        <w:color w:val="212529"/>
        <w:sz w:val="16"/>
        <w:szCs w:val="16"/>
      </w:rPr>
      <w:t>Mulyawan</w:t>
    </w:r>
    <w:proofErr w:type="spellEnd"/>
    <w:r w:rsidRPr="00F95619">
      <w:rPr>
        <w:rFonts w:ascii="Bookman Old Style" w:hAnsi="Bookman Old Style" w:cs="Segoe UI"/>
        <w:color w:val="212529"/>
        <w:sz w:val="16"/>
        <w:szCs w:val="16"/>
      </w:rPr>
      <w:t xml:space="preserve">, I. M., &amp; </w:t>
    </w:r>
    <w:proofErr w:type="spellStart"/>
    <w:r w:rsidRPr="00F95619">
      <w:rPr>
        <w:rFonts w:ascii="Bookman Old Style" w:hAnsi="Bookman Old Style" w:cs="Segoe UI"/>
        <w:color w:val="212529"/>
        <w:sz w:val="16"/>
        <w:szCs w:val="16"/>
      </w:rPr>
      <w:t>Mahadewa</w:t>
    </w:r>
    <w:proofErr w:type="spellEnd"/>
    <w:r w:rsidRPr="00F95619">
      <w:rPr>
        <w:rFonts w:ascii="Bookman Old Style" w:hAnsi="Bookman Old Style" w:cs="Segoe UI"/>
        <w:color w:val="212529"/>
        <w:sz w:val="16"/>
        <w:szCs w:val="16"/>
      </w:rPr>
      <w:t>, T. G. B. (2022). The relationship between tissue inhibitor metalloproteinase-1 with colorectal cancer and tissue inhibitor metalloproteinase-1 as a predictor of colorectal cancer. </w:t>
    </w:r>
    <w:r w:rsidRPr="00F95619">
      <w:rPr>
        <w:rFonts w:ascii="Bookman Old Style" w:hAnsi="Bookman Old Style" w:cs="Segoe UI"/>
        <w:i/>
        <w:iCs/>
        <w:color w:val="212529"/>
        <w:sz w:val="16"/>
        <w:szCs w:val="16"/>
      </w:rPr>
      <w:t>International Journal of Health Sciences</w:t>
    </w:r>
    <w:r w:rsidRPr="00F95619">
      <w:rPr>
        <w:rFonts w:ascii="Bookman Old Style" w:hAnsi="Bookman Old Style" w:cs="Segoe UI"/>
        <w:color w:val="212529"/>
        <w:sz w:val="16"/>
        <w:szCs w:val="16"/>
      </w:rPr>
      <w:t>, </w:t>
    </w:r>
    <w:r w:rsidRPr="00F95619">
      <w:rPr>
        <w:rFonts w:ascii="Bookman Old Style" w:hAnsi="Bookman Old Style" w:cs="Segoe UI"/>
        <w:i/>
        <w:iCs/>
        <w:color w:val="212529"/>
        <w:sz w:val="16"/>
        <w:szCs w:val="16"/>
      </w:rPr>
      <w:t>6</w:t>
    </w:r>
    <w:r w:rsidRPr="00F95619">
      <w:rPr>
        <w:rFonts w:ascii="Bookman Old Style" w:hAnsi="Bookman Old Style" w:cs="Segoe UI"/>
        <w:color w:val="212529"/>
        <w:sz w:val="16"/>
        <w:szCs w:val="16"/>
      </w:rPr>
      <w:t xml:space="preserve">(S7), </w:t>
    </w:r>
    <w:r w:rsidR="000A76C1">
      <w:rPr>
        <w:rFonts w:ascii="Bookman Old Style" w:hAnsi="Bookman Old Style" w:cs="Segoe UI"/>
        <w:color w:val="212529"/>
        <w:sz w:val="16"/>
        <w:szCs w:val="16"/>
      </w:rPr>
      <w:t>6401-6411</w:t>
    </w:r>
    <w:r w:rsidRPr="00F95619">
      <w:rPr>
        <w:rFonts w:ascii="Bookman Old Style" w:hAnsi="Bookman Old Style" w:cs="Segoe UI"/>
        <w:color w:val="212529"/>
        <w:sz w:val="16"/>
        <w:szCs w:val="16"/>
      </w:rPr>
      <w:t xml:space="preserve">. Retrieved from </w:t>
    </w:r>
    <w:hyperlink r:id="rId1" w:history="1">
      <w:r w:rsidRPr="00F95619">
        <w:rPr>
          <w:rStyle w:val="Hyperlink"/>
          <w:rFonts w:ascii="Bookman Old Style" w:hAnsi="Bookman Old Style" w:cs="Segoe UI"/>
          <w:sz w:val="16"/>
          <w:szCs w:val="16"/>
          <w:u w:val="none"/>
        </w:rPr>
        <w:t>https://sciencescholar.us/journal/index.php/ijhs/article/view/13617</w:t>
      </w:r>
    </w:hyperlink>
    <w:r w:rsidRPr="00F95619">
      <w:rPr>
        <w:rFonts w:ascii="Bookman Old Style" w:hAnsi="Bookman Old Style" w:cs="Segoe UI"/>
        <w:color w:val="212529"/>
        <w:sz w:val="16"/>
        <w:szCs w:val="16"/>
      </w:rPr>
      <w:t xml:space="preserve"> </w:t>
    </w:r>
  </w:p>
  <w:p w14:paraId="5BBB3212" w14:textId="77777777" w:rsidR="00BE652A" w:rsidRPr="00964A77" w:rsidRDefault="00BE652A" w:rsidP="00AA4DBA">
    <w:pPr>
      <w:pStyle w:val="Header"/>
      <w:ind w:right="51"/>
      <w:rPr>
        <w:rFonts w:ascii="Bookman Old Style" w:hAnsi="Bookman Old Style"/>
        <w:sz w:val="18"/>
        <w:szCs w:val="18"/>
      </w:rPr>
    </w:pPr>
  </w:p>
  <w:p w14:paraId="47C66964" w14:textId="77777777" w:rsidR="00FD7CBA" w:rsidRPr="00632C36" w:rsidRDefault="00FD7CBA" w:rsidP="00AA4DBA">
    <w:pPr>
      <w:pStyle w:val="Header"/>
      <w:ind w:right="51"/>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029"/>
    <w:multiLevelType w:val="hybridMultilevel"/>
    <w:tmpl w:val="BDE0E472"/>
    <w:lvl w:ilvl="0" w:tplc="E2AA2BEE">
      <w:start w:val="1"/>
      <w:numFmt w:val="decimal"/>
      <w:lvlText w:val="%1."/>
      <w:lvlJc w:val="left"/>
      <w:pPr>
        <w:ind w:left="720" w:hanging="360"/>
      </w:pPr>
      <w:rPr>
        <w:rFonts w:hint="default"/>
      </w:rPr>
    </w:lvl>
    <w:lvl w:ilvl="1" w:tplc="9B6AA650" w:tentative="1">
      <w:start w:val="1"/>
      <w:numFmt w:val="lowerLetter"/>
      <w:lvlText w:val="%2."/>
      <w:lvlJc w:val="left"/>
      <w:pPr>
        <w:ind w:left="1440" w:hanging="360"/>
      </w:pPr>
    </w:lvl>
    <w:lvl w:ilvl="2" w:tplc="BCEC1D9A" w:tentative="1">
      <w:start w:val="1"/>
      <w:numFmt w:val="lowerRoman"/>
      <w:lvlText w:val="%3."/>
      <w:lvlJc w:val="right"/>
      <w:pPr>
        <w:ind w:left="2160" w:hanging="180"/>
      </w:pPr>
    </w:lvl>
    <w:lvl w:ilvl="3" w:tplc="FFF01DB2" w:tentative="1">
      <w:start w:val="1"/>
      <w:numFmt w:val="decimal"/>
      <w:lvlText w:val="%4."/>
      <w:lvlJc w:val="left"/>
      <w:pPr>
        <w:ind w:left="2880" w:hanging="360"/>
      </w:pPr>
    </w:lvl>
    <w:lvl w:ilvl="4" w:tplc="96248280" w:tentative="1">
      <w:start w:val="1"/>
      <w:numFmt w:val="lowerLetter"/>
      <w:lvlText w:val="%5."/>
      <w:lvlJc w:val="left"/>
      <w:pPr>
        <w:ind w:left="3600" w:hanging="360"/>
      </w:pPr>
    </w:lvl>
    <w:lvl w:ilvl="5" w:tplc="0D747F5E" w:tentative="1">
      <w:start w:val="1"/>
      <w:numFmt w:val="lowerRoman"/>
      <w:lvlText w:val="%6."/>
      <w:lvlJc w:val="right"/>
      <w:pPr>
        <w:ind w:left="4320" w:hanging="180"/>
      </w:pPr>
    </w:lvl>
    <w:lvl w:ilvl="6" w:tplc="C996366C" w:tentative="1">
      <w:start w:val="1"/>
      <w:numFmt w:val="decimal"/>
      <w:lvlText w:val="%7."/>
      <w:lvlJc w:val="left"/>
      <w:pPr>
        <w:ind w:left="5040" w:hanging="360"/>
      </w:pPr>
    </w:lvl>
    <w:lvl w:ilvl="7" w:tplc="2C10F0D0" w:tentative="1">
      <w:start w:val="1"/>
      <w:numFmt w:val="lowerLetter"/>
      <w:lvlText w:val="%8."/>
      <w:lvlJc w:val="left"/>
      <w:pPr>
        <w:ind w:left="5760" w:hanging="360"/>
      </w:pPr>
    </w:lvl>
    <w:lvl w:ilvl="8" w:tplc="F1829CC4"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D47A3C"/>
    <w:multiLevelType w:val="hybridMultilevel"/>
    <w:tmpl w:val="1758CBF0"/>
    <w:lvl w:ilvl="0" w:tplc="7F0A3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128AE"/>
    <w:multiLevelType w:val="hybridMultilevel"/>
    <w:tmpl w:val="2076BCF4"/>
    <w:lvl w:ilvl="0" w:tplc="BF221284">
      <w:start w:val="1"/>
      <w:numFmt w:val="decimal"/>
      <w:lvlText w:val="%1."/>
      <w:lvlJc w:val="left"/>
      <w:pPr>
        <w:ind w:left="720" w:hanging="360"/>
      </w:pPr>
      <w:rPr>
        <w:rFonts w:hint="default"/>
      </w:rPr>
    </w:lvl>
    <w:lvl w:ilvl="1" w:tplc="D5467344" w:tentative="1">
      <w:start w:val="1"/>
      <w:numFmt w:val="lowerLetter"/>
      <w:lvlText w:val="%2."/>
      <w:lvlJc w:val="left"/>
      <w:pPr>
        <w:ind w:left="1440" w:hanging="360"/>
      </w:pPr>
    </w:lvl>
    <w:lvl w:ilvl="2" w:tplc="7A0E0902" w:tentative="1">
      <w:start w:val="1"/>
      <w:numFmt w:val="lowerRoman"/>
      <w:lvlText w:val="%3."/>
      <w:lvlJc w:val="right"/>
      <w:pPr>
        <w:ind w:left="2160" w:hanging="180"/>
      </w:pPr>
    </w:lvl>
    <w:lvl w:ilvl="3" w:tplc="F3048ABC" w:tentative="1">
      <w:start w:val="1"/>
      <w:numFmt w:val="decimal"/>
      <w:lvlText w:val="%4."/>
      <w:lvlJc w:val="left"/>
      <w:pPr>
        <w:ind w:left="2880" w:hanging="360"/>
      </w:pPr>
    </w:lvl>
    <w:lvl w:ilvl="4" w:tplc="F36ABCBE" w:tentative="1">
      <w:start w:val="1"/>
      <w:numFmt w:val="lowerLetter"/>
      <w:lvlText w:val="%5."/>
      <w:lvlJc w:val="left"/>
      <w:pPr>
        <w:ind w:left="3600" w:hanging="360"/>
      </w:pPr>
    </w:lvl>
    <w:lvl w:ilvl="5" w:tplc="77BAB7DE" w:tentative="1">
      <w:start w:val="1"/>
      <w:numFmt w:val="lowerRoman"/>
      <w:lvlText w:val="%6."/>
      <w:lvlJc w:val="right"/>
      <w:pPr>
        <w:ind w:left="4320" w:hanging="180"/>
      </w:pPr>
    </w:lvl>
    <w:lvl w:ilvl="6" w:tplc="608A1D7C" w:tentative="1">
      <w:start w:val="1"/>
      <w:numFmt w:val="decimal"/>
      <w:lvlText w:val="%7."/>
      <w:lvlJc w:val="left"/>
      <w:pPr>
        <w:ind w:left="5040" w:hanging="360"/>
      </w:pPr>
    </w:lvl>
    <w:lvl w:ilvl="7" w:tplc="8BC6AB22" w:tentative="1">
      <w:start w:val="1"/>
      <w:numFmt w:val="lowerLetter"/>
      <w:lvlText w:val="%8."/>
      <w:lvlJc w:val="left"/>
      <w:pPr>
        <w:ind w:left="5760" w:hanging="360"/>
      </w:pPr>
    </w:lvl>
    <w:lvl w:ilvl="8" w:tplc="D5B88FB8" w:tentative="1">
      <w:start w:val="1"/>
      <w:numFmt w:val="lowerRoman"/>
      <w:lvlText w:val="%9."/>
      <w:lvlJc w:val="right"/>
      <w:pPr>
        <w:ind w:left="6480" w:hanging="180"/>
      </w:pPr>
    </w:lvl>
  </w:abstractNum>
  <w:abstractNum w:abstractNumId="10" w15:restartNumberingAfterBreak="0">
    <w:nsid w:val="44540748"/>
    <w:multiLevelType w:val="hybridMultilevel"/>
    <w:tmpl w:val="7AAA4C94"/>
    <w:lvl w:ilvl="0" w:tplc="27A8AE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71A96"/>
    <w:multiLevelType w:val="hybridMultilevel"/>
    <w:tmpl w:val="F1E46B34"/>
    <w:lvl w:ilvl="0" w:tplc="4B904E28">
      <w:start w:val="1"/>
      <w:numFmt w:val="decimal"/>
      <w:lvlText w:val="%1."/>
      <w:lvlJc w:val="left"/>
      <w:pPr>
        <w:ind w:left="720" w:hanging="360"/>
      </w:pPr>
      <w:rPr>
        <w:rFonts w:hint="default"/>
      </w:rPr>
    </w:lvl>
    <w:lvl w:ilvl="1" w:tplc="A4F85CBA">
      <w:start w:val="1"/>
      <w:numFmt w:val="lowerLetter"/>
      <w:lvlText w:val="%2."/>
      <w:lvlJc w:val="left"/>
      <w:pPr>
        <w:ind w:left="1440" w:hanging="360"/>
      </w:pPr>
    </w:lvl>
    <w:lvl w:ilvl="2" w:tplc="A2BEE360">
      <w:start w:val="1"/>
      <w:numFmt w:val="lowerRoman"/>
      <w:lvlText w:val="%3."/>
      <w:lvlJc w:val="right"/>
      <w:pPr>
        <w:ind w:left="2160" w:hanging="180"/>
      </w:pPr>
    </w:lvl>
    <w:lvl w:ilvl="3" w:tplc="91F602E4" w:tentative="1">
      <w:start w:val="1"/>
      <w:numFmt w:val="decimal"/>
      <w:lvlText w:val="%4."/>
      <w:lvlJc w:val="left"/>
      <w:pPr>
        <w:ind w:left="2880" w:hanging="360"/>
      </w:pPr>
    </w:lvl>
    <w:lvl w:ilvl="4" w:tplc="68529182" w:tentative="1">
      <w:start w:val="1"/>
      <w:numFmt w:val="lowerLetter"/>
      <w:lvlText w:val="%5."/>
      <w:lvlJc w:val="left"/>
      <w:pPr>
        <w:ind w:left="3600" w:hanging="360"/>
      </w:pPr>
    </w:lvl>
    <w:lvl w:ilvl="5" w:tplc="C7966D98" w:tentative="1">
      <w:start w:val="1"/>
      <w:numFmt w:val="lowerRoman"/>
      <w:lvlText w:val="%6."/>
      <w:lvlJc w:val="right"/>
      <w:pPr>
        <w:ind w:left="4320" w:hanging="180"/>
      </w:pPr>
    </w:lvl>
    <w:lvl w:ilvl="6" w:tplc="DB6C3DF6" w:tentative="1">
      <w:start w:val="1"/>
      <w:numFmt w:val="decimal"/>
      <w:lvlText w:val="%7."/>
      <w:lvlJc w:val="left"/>
      <w:pPr>
        <w:ind w:left="5040" w:hanging="360"/>
      </w:pPr>
    </w:lvl>
    <w:lvl w:ilvl="7" w:tplc="51CC6D12" w:tentative="1">
      <w:start w:val="1"/>
      <w:numFmt w:val="lowerLetter"/>
      <w:lvlText w:val="%8."/>
      <w:lvlJc w:val="left"/>
      <w:pPr>
        <w:ind w:left="5760" w:hanging="360"/>
      </w:pPr>
    </w:lvl>
    <w:lvl w:ilvl="8" w:tplc="C5D63F6E" w:tentative="1">
      <w:start w:val="1"/>
      <w:numFmt w:val="lowerRoman"/>
      <w:lvlText w:val="%9."/>
      <w:lvlJc w:val="right"/>
      <w:pPr>
        <w:ind w:left="6480" w:hanging="180"/>
      </w:p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71E075E"/>
    <w:multiLevelType w:val="hybridMultilevel"/>
    <w:tmpl w:val="0CA21824"/>
    <w:lvl w:ilvl="0" w:tplc="3DB82E0A">
      <w:start w:val="1"/>
      <w:numFmt w:val="decimal"/>
      <w:lvlText w:val="%1."/>
      <w:lvlJc w:val="left"/>
      <w:pPr>
        <w:ind w:left="1080" w:hanging="360"/>
      </w:pPr>
      <w:rPr>
        <w:rFonts w:hint="default"/>
      </w:rPr>
    </w:lvl>
    <w:lvl w:ilvl="1" w:tplc="A212F53A" w:tentative="1">
      <w:start w:val="1"/>
      <w:numFmt w:val="lowerLetter"/>
      <w:lvlText w:val="%2."/>
      <w:lvlJc w:val="left"/>
      <w:pPr>
        <w:ind w:left="1800" w:hanging="360"/>
      </w:pPr>
    </w:lvl>
    <w:lvl w:ilvl="2" w:tplc="7C08B598" w:tentative="1">
      <w:start w:val="1"/>
      <w:numFmt w:val="lowerRoman"/>
      <w:lvlText w:val="%3."/>
      <w:lvlJc w:val="right"/>
      <w:pPr>
        <w:ind w:left="2520" w:hanging="180"/>
      </w:pPr>
    </w:lvl>
    <w:lvl w:ilvl="3" w:tplc="2F505AB4" w:tentative="1">
      <w:start w:val="1"/>
      <w:numFmt w:val="decimal"/>
      <w:lvlText w:val="%4."/>
      <w:lvlJc w:val="left"/>
      <w:pPr>
        <w:ind w:left="3240" w:hanging="360"/>
      </w:pPr>
    </w:lvl>
    <w:lvl w:ilvl="4" w:tplc="179E6522" w:tentative="1">
      <w:start w:val="1"/>
      <w:numFmt w:val="lowerLetter"/>
      <w:lvlText w:val="%5."/>
      <w:lvlJc w:val="left"/>
      <w:pPr>
        <w:ind w:left="3960" w:hanging="360"/>
      </w:pPr>
    </w:lvl>
    <w:lvl w:ilvl="5" w:tplc="1FECF092" w:tentative="1">
      <w:start w:val="1"/>
      <w:numFmt w:val="lowerRoman"/>
      <w:lvlText w:val="%6."/>
      <w:lvlJc w:val="right"/>
      <w:pPr>
        <w:ind w:left="4680" w:hanging="180"/>
      </w:pPr>
    </w:lvl>
    <w:lvl w:ilvl="6" w:tplc="DA9C1E74" w:tentative="1">
      <w:start w:val="1"/>
      <w:numFmt w:val="decimal"/>
      <w:lvlText w:val="%7."/>
      <w:lvlJc w:val="left"/>
      <w:pPr>
        <w:ind w:left="5400" w:hanging="360"/>
      </w:pPr>
    </w:lvl>
    <w:lvl w:ilvl="7" w:tplc="B1DA9E6A" w:tentative="1">
      <w:start w:val="1"/>
      <w:numFmt w:val="lowerLetter"/>
      <w:lvlText w:val="%8."/>
      <w:lvlJc w:val="left"/>
      <w:pPr>
        <w:ind w:left="6120" w:hanging="360"/>
      </w:pPr>
    </w:lvl>
    <w:lvl w:ilvl="8" w:tplc="B1AC8948" w:tentative="1">
      <w:start w:val="1"/>
      <w:numFmt w:val="lowerRoman"/>
      <w:lvlText w:val="%9."/>
      <w:lvlJc w:val="right"/>
      <w:pPr>
        <w:ind w:left="6840" w:hanging="180"/>
      </w:pPr>
    </w:lvl>
  </w:abstractNum>
  <w:num w:numId="1" w16cid:durableId="192692453">
    <w:abstractNumId w:val="16"/>
  </w:num>
  <w:num w:numId="2" w16cid:durableId="582179982">
    <w:abstractNumId w:val="12"/>
  </w:num>
  <w:num w:numId="3" w16cid:durableId="2054768699">
    <w:abstractNumId w:val="21"/>
  </w:num>
  <w:num w:numId="4" w16cid:durableId="1183856310">
    <w:abstractNumId w:val="11"/>
  </w:num>
  <w:num w:numId="5" w16cid:durableId="273295843">
    <w:abstractNumId w:val="14"/>
  </w:num>
  <w:num w:numId="6" w16cid:durableId="2125803354">
    <w:abstractNumId w:val="17"/>
  </w:num>
  <w:num w:numId="7" w16cid:durableId="721902046">
    <w:abstractNumId w:val="15"/>
  </w:num>
  <w:num w:numId="8" w16cid:durableId="983392269">
    <w:abstractNumId w:val="13"/>
  </w:num>
  <w:num w:numId="9" w16cid:durableId="1651060124">
    <w:abstractNumId w:val="7"/>
  </w:num>
  <w:num w:numId="10" w16cid:durableId="1900548">
    <w:abstractNumId w:val="2"/>
  </w:num>
  <w:num w:numId="11" w16cid:durableId="1168130345">
    <w:abstractNumId w:val="1"/>
  </w:num>
  <w:num w:numId="12" w16cid:durableId="1866285320">
    <w:abstractNumId w:val="4"/>
  </w:num>
  <w:num w:numId="13" w16cid:durableId="643394547">
    <w:abstractNumId w:val="3"/>
  </w:num>
  <w:num w:numId="14" w16cid:durableId="644160864">
    <w:abstractNumId w:val="5"/>
  </w:num>
  <w:num w:numId="15" w16cid:durableId="741566304">
    <w:abstractNumId w:val="19"/>
  </w:num>
  <w:num w:numId="16" w16cid:durableId="1743405534">
    <w:abstractNumId w:val="6"/>
  </w:num>
  <w:num w:numId="17" w16cid:durableId="568005709">
    <w:abstractNumId w:val="18"/>
  </w:num>
  <w:num w:numId="18" w16cid:durableId="1399942060">
    <w:abstractNumId w:val="10"/>
  </w:num>
  <w:num w:numId="19" w16cid:durableId="1812867559">
    <w:abstractNumId w:val="8"/>
  </w:num>
  <w:num w:numId="20" w16cid:durableId="403574093">
    <w:abstractNumId w:val="22"/>
  </w:num>
  <w:num w:numId="21" w16cid:durableId="69081694">
    <w:abstractNumId w:val="0"/>
  </w:num>
  <w:num w:numId="22" w16cid:durableId="846556832">
    <w:abstractNumId w:val="20"/>
  </w:num>
  <w:num w:numId="23" w16cid:durableId="108024800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trA0NTE3NTI2NrQwMzNX0lEKTi0uzszPAykwM64FADn1IJgtAAAA"/>
  </w:docVars>
  <w:rsids>
    <w:rsidRoot w:val="007D0AC6"/>
    <w:rsid w:val="000013CF"/>
    <w:rsid w:val="00002882"/>
    <w:rsid w:val="0000385F"/>
    <w:rsid w:val="00005EFC"/>
    <w:rsid w:val="00006142"/>
    <w:rsid w:val="00007744"/>
    <w:rsid w:val="000106D0"/>
    <w:rsid w:val="00012CEF"/>
    <w:rsid w:val="00014633"/>
    <w:rsid w:val="00015C26"/>
    <w:rsid w:val="00015F2A"/>
    <w:rsid w:val="00017858"/>
    <w:rsid w:val="00017CB1"/>
    <w:rsid w:val="00021949"/>
    <w:rsid w:val="00027142"/>
    <w:rsid w:val="000278FB"/>
    <w:rsid w:val="000279BE"/>
    <w:rsid w:val="00034200"/>
    <w:rsid w:val="00034C84"/>
    <w:rsid w:val="00037A68"/>
    <w:rsid w:val="000415F2"/>
    <w:rsid w:val="000416A3"/>
    <w:rsid w:val="000437AE"/>
    <w:rsid w:val="000474E3"/>
    <w:rsid w:val="00047710"/>
    <w:rsid w:val="000523C5"/>
    <w:rsid w:val="00053FB7"/>
    <w:rsid w:val="0006020A"/>
    <w:rsid w:val="0006024B"/>
    <w:rsid w:val="00060330"/>
    <w:rsid w:val="00060F5C"/>
    <w:rsid w:val="0006115A"/>
    <w:rsid w:val="00061D77"/>
    <w:rsid w:val="00062720"/>
    <w:rsid w:val="00066063"/>
    <w:rsid w:val="00067BAA"/>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0A8"/>
    <w:rsid w:val="000A15DA"/>
    <w:rsid w:val="000A1DAB"/>
    <w:rsid w:val="000A54FE"/>
    <w:rsid w:val="000A592D"/>
    <w:rsid w:val="000A643C"/>
    <w:rsid w:val="000A739D"/>
    <w:rsid w:val="000A76C1"/>
    <w:rsid w:val="000A7ACA"/>
    <w:rsid w:val="000B0641"/>
    <w:rsid w:val="000B2CDC"/>
    <w:rsid w:val="000B5480"/>
    <w:rsid w:val="000B682B"/>
    <w:rsid w:val="000C03DA"/>
    <w:rsid w:val="000C1942"/>
    <w:rsid w:val="000C4B17"/>
    <w:rsid w:val="000C6AC5"/>
    <w:rsid w:val="000C6C46"/>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E78A4"/>
    <w:rsid w:val="000F279B"/>
    <w:rsid w:val="000F27BF"/>
    <w:rsid w:val="000F29E1"/>
    <w:rsid w:val="000F48FE"/>
    <w:rsid w:val="000F61E2"/>
    <w:rsid w:val="000F7ED5"/>
    <w:rsid w:val="0010046E"/>
    <w:rsid w:val="00102A61"/>
    <w:rsid w:val="001041EB"/>
    <w:rsid w:val="00104BF1"/>
    <w:rsid w:val="00105140"/>
    <w:rsid w:val="00106F02"/>
    <w:rsid w:val="001078A8"/>
    <w:rsid w:val="00107904"/>
    <w:rsid w:val="00111543"/>
    <w:rsid w:val="001129DE"/>
    <w:rsid w:val="0011369D"/>
    <w:rsid w:val="00113F18"/>
    <w:rsid w:val="00114470"/>
    <w:rsid w:val="00114643"/>
    <w:rsid w:val="00117326"/>
    <w:rsid w:val="00117C85"/>
    <w:rsid w:val="00117FB0"/>
    <w:rsid w:val="00121C37"/>
    <w:rsid w:val="00122833"/>
    <w:rsid w:val="0012508D"/>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477CA"/>
    <w:rsid w:val="001478ED"/>
    <w:rsid w:val="001517E4"/>
    <w:rsid w:val="00151E7C"/>
    <w:rsid w:val="00153387"/>
    <w:rsid w:val="00154084"/>
    <w:rsid w:val="00154C55"/>
    <w:rsid w:val="0015661D"/>
    <w:rsid w:val="00157C06"/>
    <w:rsid w:val="00161845"/>
    <w:rsid w:val="00162849"/>
    <w:rsid w:val="00165D0E"/>
    <w:rsid w:val="00166052"/>
    <w:rsid w:val="00166432"/>
    <w:rsid w:val="00167012"/>
    <w:rsid w:val="001671A8"/>
    <w:rsid w:val="0016761A"/>
    <w:rsid w:val="00167BE2"/>
    <w:rsid w:val="00171713"/>
    <w:rsid w:val="0017238E"/>
    <w:rsid w:val="00172E96"/>
    <w:rsid w:val="00177E2C"/>
    <w:rsid w:val="00180992"/>
    <w:rsid w:val="00180FD2"/>
    <w:rsid w:val="00180FD4"/>
    <w:rsid w:val="00181509"/>
    <w:rsid w:val="00181965"/>
    <w:rsid w:val="00185202"/>
    <w:rsid w:val="00185B55"/>
    <w:rsid w:val="00187B69"/>
    <w:rsid w:val="0019050C"/>
    <w:rsid w:val="0019296A"/>
    <w:rsid w:val="00192E8C"/>
    <w:rsid w:val="0019391D"/>
    <w:rsid w:val="001941BA"/>
    <w:rsid w:val="00195579"/>
    <w:rsid w:val="001964E7"/>
    <w:rsid w:val="001977EA"/>
    <w:rsid w:val="001A0839"/>
    <w:rsid w:val="001A33EF"/>
    <w:rsid w:val="001B2439"/>
    <w:rsid w:val="001B2EF9"/>
    <w:rsid w:val="001B4AB3"/>
    <w:rsid w:val="001B5250"/>
    <w:rsid w:val="001B5719"/>
    <w:rsid w:val="001B621C"/>
    <w:rsid w:val="001B64D0"/>
    <w:rsid w:val="001B7915"/>
    <w:rsid w:val="001C0FE6"/>
    <w:rsid w:val="001C15D0"/>
    <w:rsid w:val="001C19EB"/>
    <w:rsid w:val="001C1DDC"/>
    <w:rsid w:val="001C2ADF"/>
    <w:rsid w:val="001C3A05"/>
    <w:rsid w:val="001C6EE0"/>
    <w:rsid w:val="001C7AC5"/>
    <w:rsid w:val="001D04CA"/>
    <w:rsid w:val="001D0CB2"/>
    <w:rsid w:val="001D128B"/>
    <w:rsid w:val="001D19C3"/>
    <w:rsid w:val="001D1C92"/>
    <w:rsid w:val="001D218B"/>
    <w:rsid w:val="001D2AB8"/>
    <w:rsid w:val="001D5396"/>
    <w:rsid w:val="001D7C0D"/>
    <w:rsid w:val="001E0447"/>
    <w:rsid w:val="001E1922"/>
    <w:rsid w:val="001E2071"/>
    <w:rsid w:val="001E4E0D"/>
    <w:rsid w:val="001E5CFB"/>
    <w:rsid w:val="001E608B"/>
    <w:rsid w:val="001E69C1"/>
    <w:rsid w:val="001E7DCD"/>
    <w:rsid w:val="001E7FFA"/>
    <w:rsid w:val="001F0AFC"/>
    <w:rsid w:val="001F165A"/>
    <w:rsid w:val="001F470F"/>
    <w:rsid w:val="001F4ACD"/>
    <w:rsid w:val="001F6170"/>
    <w:rsid w:val="001F63D7"/>
    <w:rsid w:val="001F6ACF"/>
    <w:rsid w:val="001F6FB1"/>
    <w:rsid w:val="00204248"/>
    <w:rsid w:val="00204431"/>
    <w:rsid w:val="0020464A"/>
    <w:rsid w:val="00204A25"/>
    <w:rsid w:val="0020608E"/>
    <w:rsid w:val="002073B6"/>
    <w:rsid w:val="002076CA"/>
    <w:rsid w:val="002079DD"/>
    <w:rsid w:val="00210CCF"/>
    <w:rsid w:val="00212DCC"/>
    <w:rsid w:val="002141C1"/>
    <w:rsid w:val="00215A82"/>
    <w:rsid w:val="00216F2A"/>
    <w:rsid w:val="00217B67"/>
    <w:rsid w:val="00220914"/>
    <w:rsid w:val="00221D61"/>
    <w:rsid w:val="00221FB3"/>
    <w:rsid w:val="00222968"/>
    <w:rsid w:val="00224456"/>
    <w:rsid w:val="002255E8"/>
    <w:rsid w:val="00225BEA"/>
    <w:rsid w:val="00230440"/>
    <w:rsid w:val="00230AAB"/>
    <w:rsid w:val="00231A19"/>
    <w:rsid w:val="00232081"/>
    <w:rsid w:val="002322E0"/>
    <w:rsid w:val="00232DA1"/>
    <w:rsid w:val="002335E3"/>
    <w:rsid w:val="00233769"/>
    <w:rsid w:val="00233C44"/>
    <w:rsid w:val="00236F57"/>
    <w:rsid w:val="002378BD"/>
    <w:rsid w:val="00237B26"/>
    <w:rsid w:val="00240303"/>
    <w:rsid w:val="0024180A"/>
    <w:rsid w:val="0024268D"/>
    <w:rsid w:val="0024646F"/>
    <w:rsid w:val="00250442"/>
    <w:rsid w:val="00250A66"/>
    <w:rsid w:val="00250EDC"/>
    <w:rsid w:val="00254336"/>
    <w:rsid w:val="00254EC2"/>
    <w:rsid w:val="002550AB"/>
    <w:rsid w:val="00256322"/>
    <w:rsid w:val="002575A8"/>
    <w:rsid w:val="00260476"/>
    <w:rsid w:val="00261B88"/>
    <w:rsid w:val="00261CB6"/>
    <w:rsid w:val="0026229E"/>
    <w:rsid w:val="002622CD"/>
    <w:rsid w:val="002624F2"/>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531E"/>
    <w:rsid w:val="00290D1B"/>
    <w:rsid w:val="00291EBF"/>
    <w:rsid w:val="00296D8E"/>
    <w:rsid w:val="00297B35"/>
    <w:rsid w:val="002A0772"/>
    <w:rsid w:val="002A4C68"/>
    <w:rsid w:val="002A65EF"/>
    <w:rsid w:val="002A6EA3"/>
    <w:rsid w:val="002A75B8"/>
    <w:rsid w:val="002B0601"/>
    <w:rsid w:val="002B0E58"/>
    <w:rsid w:val="002B10C7"/>
    <w:rsid w:val="002B2F8F"/>
    <w:rsid w:val="002B50C9"/>
    <w:rsid w:val="002B6541"/>
    <w:rsid w:val="002B66EF"/>
    <w:rsid w:val="002B6EC9"/>
    <w:rsid w:val="002B7609"/>
    <w:rsid w:val="002C0665"/>
    <w:rsid w:val="002C2C92"/>
    <w:rsid w:val="002C4749"/>
    <w:rsid w:val="002C5101"/>
    <w:rsid w:val="002C6317"/>
    <w:rsid w:val="002D07B9"/>
    <w:rsid w:val="002D0C71"/>
    <w:rsid w:val="002D0F04"/>
    <w:rsid w:val="002D0F6D"/>
    <w:rsid w:val="002D1003"/>
    <w:rsid w:val="002D31A6"/>
    <w:rsid w:val="002D4A56"/>
    <w:rsid w:val="002D797A"/>
    <w:rsid w:val="002E0BC4"/>
    <w:rsid w:val="002E1587"/>
    <w:rsid w:val="002E184C"/>
    <w:rsid w:val="002E2CAE"/>
    <w:rsid w:val="002E32D4"/>
    <w:rsid w:val="002E6409"/>
    <w:rsid w:val="002F137A"/>
    <w:rsid w:val="002F267D"/>
    <w:rsid w:val="002F3D30"/>
    <w:rsid w:val="002F41A4"/>
    <w:rsid w:val="002F48E3"/>
    <w:rsid w:val="002F4A0F"/>
    <w:rsid w:val="002F6BBA"/>
    <w:rsid w:val="002F6DFA"/>
    <w:rsid w:val="002F7C5F"/>
    <w:rsid w:val="0030038F"/>
    <w:rsid w:val="00301DB4"/>
    <w:rsid w:val="00302D7F"/>
    <w:rsid w:val="003035D7"/>
    <w:rsid w:val="00305125"/>
    <w:rsid w:val="00306442"/>
    <w:rsid w:val="003069FB"/>
    <w:rsid w:val="0031171E"/>
    <w:rsid w:val="00312C0C"/>
    <w:rsid w:val="00313AA2"/>
    <w:rsid w:val="003200C9"/>
    <w:rsid w:val="003209C7"/>
    <w:rsid w:val="0032306D"/>
    <w:rsid w:val="00325B83"/>
    <w:rsid w:val="00326170"/>
    <w:rsid w:val="003263E9"/>
    <w:rsid w:val="00326D35"/>
    <w:rsid w:val="00331183"/>
    <w:rsid w:val="00332063"/>
    <w:rsid w:val="00332CEF"/>
    <w:rsid w:val="00333AB9"/>
    <w:rsid w:val="00333C06"/>
    <w:rsid w:val="0033459B"/>
    <w:rsid w:val="00335BE8"/>
    <w:rsid w:val="00337C87"/>
    <w:rsid w:val="0034104E"/>
    <w:rsid w:val="0034265F"/>
    <w:rsid w:val="00343A49"/>
    <w:rsid w:val="00346441"/>
    <w:rsid w:val="003475EC"/>
    <w:rsid w:val="0035076B"/>
    <w:rsid w:val="00352A57"/>
    <w:rsid w:val="00352BEB"/>
    <w:rsid w:val="00353885"/>
    <w:rsid w:val="00361EB1"/>
    <w:rsid w:val="003629D1"/>
    <w:rsid w:val="00362D59"/>
    <w:rsid w:val="003637CE"/>
    <w:rsid w:val="003715EC"/>
    <w:rsid w:val="003725A2"/>
    <w:rsid w:val="00372CC5"/>
    <w:rsid w:val="00373247"/>
    <w:rsid w:val="00373753"/>
    <w:rsid w:val="00373C30"/>
    <w:rsid w:val="00376867"/>
    <w:rsid w:val="00376A96"/>
    <w:rsid w:val="003772AC"/>
    <w:rsid w:val="00381E56"/>
    <w:rsid w:val="00382117"/>
    <w:rsid w:val="003826FF"/>
    <w:rsid w:val="00384AD4"/>
    <w:rsid w:val="003876F6"/>
    <w:rsid w:val="00393D9D"/>
    <w:rsid w:val="00393E61"/>
    <w:rsid w:val="00396D02"/>
    <w:rsid w:val="003A0041"/>
    <w:rsid w:val="003A1493"/>
    <w:rsid w:val="003A1C3E"/>
    <w:rsid w:val="003A2970"/>
    <w:rsid w:val="003A5088"/>
    <w:rsid w:val="003A64D1"/>
    <w:rsid w:val="003A7D80"/>
    <w:rsid w:val="003B0E46"/>
    <w:rsid w:val="003B14AA"/>
    <w:rsid w:val="003B19C7"/>
    <w:rsid w:val="003B25A5"/>
    <w:rsid w:val="003B3120"/>
    <w:rsid w:val="003B3537"/>
    <w:rsid w:val="003B567E"/>
    <w:rsid w:val="003B6932"/>
    <w:rsid w:val="003B6E60"/>
    <w:rsid w:val="003B79EB"/>
    <w:rsid w:val="003B7ED0"/>
    <w:rsid w:val="003C0C30"/>
    <w:rsid w:val="003C0D91"/>
    <w:rsid w:val="003C2B5E"/>
    <w:rsid w:val="003C3E42"/>
    <w:rsid w:val="003C4B05"/>
    <w:rsid w:val="003C4F61"/>
    <w:rsid w:val="003C524A"/>
    <w:rsid w:val="003C71C8"/>
    <w:rsid w:val="003C72E2"/>
    <w:rsid w:val="003D07D2"/>
    <w:rsid w:val="003D480C"/>
    <w:rsid w:val="003D5B84"/>
    <w:rsid w:val="003D79CF"/>
    <w:rsid w:val="003E0207"/>
    <w:rsid w:val="003E304D"/>
    <w:rsid w:val="003E3BAD"/>
    <w:rsid w:val="003E4AA5"/>
    <w:rsid w:val="003F0964"/>
    <w:rsid w:val="003F18A1"/>
    <w:rsid w:val="003F1D93"/>
    <w:rsid w:val="003F2EB6"/>
    <w:rsid w:val="003F4897"/>
    <w:rsid w:val="003F62F2"/>
    <w:rsid w:val="003F6587"/>
    <w:rsid w:val="00402C7D"/>
    <w:rsid w:val="00403A74"/>
    <w:rsid w:val="00404E6E"/>
    <w:rsid w:val="00407351"/>
    <w:rsid w:val="00407C2D"/>
    <w:rsid w:val="004106DF"/>
    <w:rsid w:val="00411A71"/>
    <w:rsid w:val="00411C0C"/>
    <w:rsid w:val="0041359A"/>
    <w:rsid w:val="0041399A"/>
    <w:rsid w:val="00414535"/>
    <w:rsid w:val="00414EA0"/>
    <w:rsid w:val="00420D64"/>
    <w:rsid w:val="0042253C"/>
    <w:rsid w:val="00423597"/>
    <w:rsid w:val="00424E85"/>
    <w:rsid w:val="00425BE9"/>
    <w:rsid w:val="00427072"/>
    <w:rsid w:val="00427B86"/>
    <w:rsid w:val="0043098B"/>
    <w:rsid w:val="004327F1"/>
    <w:rsid w:val="0043585C"/>
    <w:rsid w:val="00441F35"/>
    <w:rsid w:val="00443205"/>
    <w:rsid w:val="004439D2"/>
    <w:rsid w:val="004503E9"/>
    <w:rsid w:val="0045122D"/>
    <w:rsid w:val="00453463"/>
    <w:rsid w:val="004550E4"/>
    <w:rsid w:val="00455F8D"/>
    <w:rsid w:val="00462C91"/>
    <w:rsid w:val="004637E8"/>
    <w:rsid w:val="00465B3A"/>
    <w:rsid w:val="004670FC"/>
    <w:rsid w:val="00467368"/>
    <w:rsid w:val="004674CD"/>
    <w:rsid w:val="004710EE"/>
    <w:rsid w:val="00472E56"/>
    <w:rsid w:val="004740EC"/>
    <w:rsid w:val="004819CF"/>
    <w:rsid w:val="00481DA2"/>
    <w:rsid w:val="00482432"/>
    <w:rsid w:val="00482E37"/>
    <w:rsid w:val="00484866"/>
    <w:rsid w:val="004859D6"/>
    <w:rsid w:val="00485FD1"/>
    <w:rsid w:val="0048797E"/>
    <w:rsid w:val="00487DD3"/>
    <w:rsid w:val="004902C8"/>
    <w:rsid w:val="004905D4"/>
    <w:rsid w:val="004907F7"/>
    <w:rsid w:val="00492AF0"/>
    <w:rsid w:val="00492E44"/>
    <w:rsid w:val="004947B9"/>
    <w:rsid w:val="00494BE8"/>
    <w:rsid w:val="0049514C"/>
    <w:rsid w:val="00496AF6"/>
    <w:rsid w:val="00496DFD"/>
    <w:rsid w:val="004A0785"/>
    <w:rsid w:val="004A0C8B"/>
    <w:rsid w:val="004A187E"/>
    <w:rsid w:val="004A1CD1"/>
    <w:rsid w:val="004A335F"/>
    <w:rsid w:val="004A3F3D"/>
    <w:rsid w:val="004A4FDB"/>
    <w:rsid w:val="004A5FC0"/>
    <w:rsid w:val="004A7C83"/>
    <w:rsid w:val="004B1FFE"/>
    <w:rsid w:val="004B2F8C"/>
    <w:rsid w:val="004B4EDE"/>
    <w:rsid w:val="004B560E"/>
    <w:rsid w:val="004B589F"/>
    <w:rsid w:val="004B661B"/>
    <w:rsid w:val="004B76DC"/>
    <w:rsid w:val="004C0B2C"/>
    <w:rsid w:val="004C2386"/>
    <w:rsid w:val="004C3BEB"/>
    <w:rsid w:val="004C59ED"/>
    <w:rsid w:val="004C65D5"/>
    <w:rsid w:val="004D2656"/>
    <w:rsid w:val="004D4395"/>
    <w:rsid w:val="004D7295"/>
    <w:rsid w:val="004D77C7"/>
    <w:rsid w:val="004D7A02"/>
    <w:rsid w:val="004E02A1"/>
    <w:rsid w:val="004E140A"/>
    <w:rsid w:val="004E154B"/>
    <w:rsid w:val="004E1914"/>
    <w:rsid w:val="004E1A79"/>
    <w:rsid w:val="004E3613"/>
    <w:rsid w:val="004E3AFD"/>
    <w:rsid w:val="004E3CAD"/>
    <w:rsid w:val="004E6453"/>
    <w:rsid w:val="004E6C69"/>
    <w:rsid w:val="004E7169"/>
    <w:rsid w:val="004F0C7C"/>
    <w:rsid w:val="004F101E"/>
    <w:rsid w:val="004F2A11"/>
    <w:rsid w:val="004F3166"/>
    <w:rsid w:val="004F3208"/>
    <w:rsid w:val="004F41FA"/>
    <w:rsid w:val="004F4D4A"/>
    <w:rsid w:val="004F54D2"/>
    <w:rsid w:val="004F6193"/>
    <w:rsid w:val="00501713"/>
    <w:rsid w:val="00505F41"/>
    <w:rsid w:val="0050794C"/>
    <w:rsid w:val="0051075B"/>
    <w:rsid w:val="00511236"/>
    <w:rsid w:val="00511539"/>
    <w:rsid w:val="00512567"/>
    <w:rsid w:val="00512DE0"/>
    <w:rsid w:val="0051361F"/>
    <w:rsid w:val="00514F43"/>
    <w:rsid w:val="00515455"/>
    <w:rsid w:val="00516317"/>
    <w:rsid w:val="005174E6"/>
    <w:rsid w:val="005174FF"/>
    <w:rsid w:val="00520EC3"/>
    <w:rsid w:val="0052138C"/>
    <w:rsid w:val="005213A1"/>
    <w:rsid w:val="00521FAA"/>
    <w:rsid w:val="00523362"/>
    <w:rsid w:val="00523B26"/>
    <w:rsid w:val="0052442F"/>
    <w:rsid w:val="00524F29"/>
    <w:rsid w:val="005265AC"/>
    <w:rsid w:val="00526CFA"/>
    <w:rsid w:val="00530CAF"/>
    <w:rsid w:val="00530CD1"/>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5E9C"/>
    <w:rsid w:val="00547658"/>
    <w:rsid w:val="0054768C"/>
    <w:rsid w:val="005560DF"/>
    <w:rsid w:val="005561EF"/>
    <w:rsid w:val="0055649A"/>
    <w:rsid w:val="00560950"/>
    <w:rsid w:val="00563102"/>
    <w:rsid w:val="0056441D"/>
    <w:rsid w:val="0057106C"/>
    <w:rsid w:val="00572013"/>
    <w:rsid w:val="00572E87"/>
    <w:rsid w:val="00573113"/>
    <w:rsid w:val="00573257"/>
    <w:rsid w:val="005778F7"/>
    <w:rsid w:val="00577A3F"/>
    <w:rsid w:val="005805DF"/>
    <w:rsid w:val="00580BF2"/>
    <w:rsid w:val="0058326E"/>
    <w:rsid w:val="005833B8"/>
    <w:rsid w:val="00583A03"/>
    <w:rsid w:val="005841BA"/>
    <w:rsid w:val="00584301"/>
    <w:rsid w:val="005877F2"/>
    <w:rsid w:val="00592442"/>
    <w:rsid w:val="0059283B"/>
    <w:rsid w:val="005935FD"/>
    <w:rsid w:val="00593E92"/>
    <w:rsid w:val="005949F1"/>
    <w:rsid w:val="005956F7"/>
    <w:rsid w:val="00595CB2"/>
    <w:rsid w:val="005978C8"/>
    <w:rsid w:val="005A0A0F"/>
    <w:rsid w:val="005A1AD0"/>
    <w:rsid w:val="005A2361"/>
    <w:rsid w:val="005A24ED"/>
    <w:rsid w:val="005A2573"/>
    <w:rsid w:val="005A2C6E"/>
    <w:rsid w:val="005A4783"/>
    <w:rsid w:val="005A6B87"/>
    <w:rsid w:val="005B0825"/>
    <w:rsid w:val="005B0A84"/>
    <w:rsid w:val="005B2D16"/>
    <w:rsid w:val="005B4DAF"/>
    <w:rsid w:val="005B4FF3"/>
    <w:rsid w:val="005B56A0"/>
    <w:rsid w:val="005B5788"/>
    <w:rsid w:val="005B60D5"/>
    <w:rsid w:val="005B693A"/>
    <w:rsid w:val="005B6AAE"/>
    <w:rsid w:val="005B7CAF"/>
    <w:rsid w:val="005C11D6"/>
    <w:rsid w:val="005C12EA"/>
    <w:rsid w:val="005C1759"/>
    <w:rsid w:val="005C234E"/>
    <w:rsid w:val="005C3442"/>
    <w:rsid w:val="005C3818"/>
    <w:rsid w:val="005D02EE"/>
    <w:rsid w:val="005D0C1B"/>
    <w:rsid w:val="005D210E"/>
    <w:rsid w:val="005D3D27"/>
    <w:rsid w:val="005D464B"/>
    <w:rsid w:val="005D7D3A"/>
    <w:rsid w:val="005D7EB1"/>
    <w:rsid w:val="005E6EF7"/>
    <w:rsid w:val="005E736A"/>
    <w:rsid w:val="005E75FC"/>
    <w:rsid w:val="005F042D"/>
    <w:rsid w:val="005F0881"/>
    <w:rsid w:val="005F3D1C"/>
    <w:rsid w:val="005F46F1"/>
    <w:rsid w:val="005F534C"/>
    <w:rsid w:val="005F75F8"/>
    <w:rsid w:val="006044C7"/>
    <w:rsid w:val="006077DA"/>
    <w:rsid w:val="006123B6"/>
    <w:rsid w:val="00612835"/>
    <w:rsid w:val="00613052"/>
    <w:rsid w:val="00613977"/>
    <w:rsid w:val="0061627D"/>
    <w:rsid w:val="006206C7"/>
    <w:rsid w:val="006212FA"/>
    <w:rsid w:val="00622118"/>
    <w:rsid w:val="00622EC4"/>
    <w:rsid w:val="0062488B"/>
    <w:rsid w:val="00625A59"/>
    <w:rsid w:val="00630178"/>
    <w:rsid w:val="0063104B"/>
    <w:rsid w:val="006327F1"/>
    <w:rsid w:val="00632C36"/>
    <w:rsid w:val="00636167"/>
    <w:rsid w:val="00641B32"/>
    <w:rsid w:val="00644417"/>
    <w:rsid w:val="00647075"/>
    <w:rsid w:val="00652EBE"/>
    <w:rsid w:val="006549EF"/>
    <w:rsid w:val="0065591C"/>
    <w:rsid w:val="00655C14"/>
    <w:rsid w:val="00656420"/>
    <w:rsid w:val="006579EF"/>
    <w:rsid w:val="00661980"/>
    <w:rsid w:val="00662070"/>
    <w:rsid w:val="0066237A"/>
    <w:rsid w:val="006628A9"/>
    <w:rsid w:val="00665A9F"/>
    <w:rsid w:val="00665B37"/>
    <w:rsid w:val="006719D8"/>
    <w:rsid w:val="0067364F"/>
    <w:rsid w:val="00675D81"/>
    <w:rsid w:val="00676455"/>
    <w:rsid w:val="00676EB9"/>
    <w:rsid w:val="00681951"/>
    <w:rsid w:val="00682B00"/>
    <w:rsid w:val="00682B43"/>
    <w:rsid w:val="00685AA5"/>
    <w:rsid w:val="00685FB4"/>
    <w:rsid w:val="006863DA"/>
    <w:rsid w:val="00687CA7"/>
    <w:rsid w:val="00687D3A"/>
    <w:rsid w:val="00691157"/>
    <w:rsid w:val="006925E2"/>
    <w:rsid w:val="00694E32"/>
    <w:rsid w:val="006A0231"/>
    <w:rsid w:val="006A090C"/>
    <w:rsid w:val="006A1384"/>
    <w:rsid w:val="006A21E8"/>
    <w:rsid w:val="006A34DA"/>
    <w:rsid w:val="006A6AEE"/>
    <w:rsid w:val="006B027E"/>
    <w:rsid w:val="006B0965"/>
    <w:rsid w:val="006B1B79"/>
    <w:rsid w:val="006B3D0A"/>
    <w:rsid w:val="006B41B5"/>
    <w:rsid w:val="006B6754"/>
    <w:rsid w:val="006B71FD"/>
    <w:rsid w:val="006C0661"/>
    <w:rsid w:val="006C080E"/>
    <w:rsid w:val="006C0E3B"/>
    <w:rsid w:val="006C18AF"/>
    <w:rsid w:val="006C1C59"/>
    <w:rsid w:val="006C1D12"/>
    <w:rsid w:val="006C7E06"/>
    <w:rsid w:val="006D29E6"/>
    <w:rsid w:val="006D2EAB"/>
    <w:rsid w:val="006D449D"/>
    <w:rsid w:val="006D5851"/>
    <w:rsid w:val="006D5DAA"/>
    <w:rsid w:val="006D60D9"/>
    <w:rsid w:val="006D6178"/>
    <w:rsid w:val="006E361D"/>
    <w:rsid w:val="006E3810"/>
    <w:rsid w:val="006E44B1"/>
    <w:rsid w:val="006E46BD"/>
    <w:rsid w:val="006E492E"/>
    <w:rsid w:val="006E4C9D"/>
    <w:rsid w:val="006E5DCF"/>
    <w:rsid w:val="006E669C"/>
    <w:rsid w:val="006E786F"/>
    <w:rsid w:val="006E78F0"/>
    <w:rsid w:val="006F01C3"/>
    <w:rsid w:val="006F0A09"/>
    <w:rsid w:val="006F0E5B"/>
    <w:rsid w:val="006F52F9"/>
    <w:rsid w:val="006F5B9E"/>
    <w:rsid w:val="006F7480"/>
    <w:rsid w:val="0070124C"/>
    <w:rsid w:val="007017C6"/>
    <w:rsid w:val="00701BCF"/>
    <w:rsid w:val="007027BB"/>
    <w:rsid w:val="00705140"/>
    <w:rsid w:val="007066C5"/>
    <w:rsid w:val="00712FFF"/>
    <w:rsid w:val="007142C8"/>
    <w:rsid w:val="00717984"/>
    <w:rsid w:val="00717A32"/>
    <w:rsid w:val="00720729"/>
    <w:rsid w:val="007212E2"/>
    <w:rsid w:val="00723DEB"/>
    <w:rsid w:val="007240E7"/>
    <w:rsid w:val="00724751"/>
    <w:rsid w:val="00731AEB"/>
    <w:rsid w:val="007353C2"/>
    <w:rsid w:val="00740C36"/>
    <w:rsid w:val="00741275"/>
    <w:rsid w:val="00741A8F"/>
    <w:rsid w:val="00742008"/>
    <w:rsid w:val="00743BA0"/>
    <w:rsid w:val="00743BA6"/>
    <w:rsid w:val="00743D06"/>
    <w:rsid w:val="00746FDF"/>
    <w:rsid w:val="00747DFD"/>
    <w:rsid w:val="00752A4E"/>
    <w:rsid w:val="00754329"/>
    <w:rsid w:val="007547A1"/>
    <w:rsid w:val="00756A93"/>
    <w:rsid w:val="0075769A"/>
    <w:rsid w:val="007617AD"/>
    <w:rsid w:val="00765DEF"/>
    <w:rsid w:val="00766E46"/>
    <w:rsid w:val="00770024"/>
    <w:rsid w:val="00770E6E"/>
    <w:rsid w:val="00771A7C"/>
    <w:rsid w:val="0077230A"/>
    <w:rsid w:val="0077246F"/>
    <w:rsid w:val="00772725"/>
    <w:rsid w:val="00773EB7"/>
    <w:rsid w:val="0077503F"/>
    <w:rsid w:val="007751AA"/>
    <w:rsid w:val="0077591C"/>
    <w:rsid w:val="00777AD7"/>
    <w:rsid w:val="00780839"/>
    <w:rsid w:val="00780E2D"/>
    <w:rsid w:val="00784628"/>
    <w:rsid w:val="00784A9B"/>
    <w:rsid w:val="007912CE"/>
    <w:rsid w:val="0079451D"/>
    <w:rsid w:val="007A04C8"/>
    <w:rsid w:val="007A2988"/>
    <w:rsid w:val="007A3102"/>
    <w:rsid w:val="007A3B30"/>
    <w:rsid w:val="007A3FC0"/>
    <w:rsid w:val="007A49BA"/>
    <w:rsid w:val="007A609F"/>
    <w:rsid w:val="007A7484"/>
    <w:rsid w:val="007B57A1"/>
    <w:rsid w:val="007B5AC2"/>
    <w:rsid w:val="007B7535"/>
    <w:rsid w:val="007C0D3D"/>
    <w:rsid w:val="007C2A08"/>
    <w:rsid w:val="007C60D8"/>
    <w:rsid w:val="007C7016"/>
    <w:rsid w:val="007D0AC6"/>
    <w:rsid w:val="007D2077"/>
    <w:rsid w:val="007D7A78"/>
    <w:rsid w:val="007E5812"/>
    <w:rsid w:val="007E68A5"/>
    <w:rsid w:val="007F117C"/>
    <w:rsid w:val="007F1EC7"/>
    <w:rsid w:val="007F286F"/>
    <w:rsid w:val="007F2C82"/>
    <w:rsid w:val="007F36F4"/>
    <w:rsid w:val="007F3EAF"/>
    <w:rsid w:val="007F40B0"/>
    <w:rsid w:val="007F5F38"/>
    <w:rsid w:val="007F665B"/>
    <w:rsid w:val="008042C8"/>
    <w:rsid w:val="00805C0B"/>
    <w:rsid w:val="00805CFD"/>
    <w:rsid w:val="00807F15"/>
    <w:rsid w:val="0081359D"/>
    <w:rsid w:val="008136A0"/>
    <w:rsid w:val="00813CDD"/>
    <w:rsid w:val="00814164"/>
    <w:rsid w:val="00815A2E"/>
    <w:rsid w:val="008168B9"/>
    <w:rsid w:val="00820B4E"/>
    <w:rsid w:val="00821F28"/>
    <w:rsid w:val="00822488"/>
    <w:rsid w:val="0082324C"/>
    <w:rsid w:val="00823B38"/>
    <w:rsid w:val="00823F1C"/>
    <w:rsid w:val="00824697"/>
    <w:rsid w:val="00827A30"/>
    <w:rsid w:val="008318B8"/>
    <w:rsid w:val="00831DDD"/>
    <w:rsid w:val="00832386"/>
    <w:rsid w:val="008332DA"/>
    <w:rsid w:val="008344C2"/>
    <w:rsid w:val="00834BAC"/>
    <w:rsid w:val="00836D01"/>
    <w:rsid w:val="008379F3"/>
    <w:rsid w:val="00837EA3"/>
    <w:rsid w:val="00841BFC"/>
    <w:rsid w:val="008439A0"/>
    <w:rsid w:val="00843BE9"/>
    <w:rsid w:val="00843C01"/>
    <w:rsid w:val="008508FF"/>
    <w:rsid w:val="00850CAC"/>
    <w:rsid w:val="0085238C"/>
    <w:rsid w:val="008530DA"/>
    <w:rsid w:val="008538D0"/>
    <w:rsid w:val="00853BF4"/>
    <w:rsid w:val="00854649"/>
    <w:rsid w:val="00854ED5"/>
    <w:rsid w:val="00855965"/>
    <w:rsid w:val="00856356"/>
    <w:rsid w:val="008563F2"/>
    <w:rsid w:val="00860671"/>
    <w:rsid w:val="00862CD2"/>
    <w:rsid w:val="0086508B"/>
    <w:rsid w:val="00866E4F"/>
    <w:rsid w:val="0087156B"/>
    <w:rsid w:val="00872D7E"/>
    <w:rsid w:val="00873624"/>
    <w:rsid w:val="008754E6"/>
    <w:rsid w:val="0087776F"/>
    <w:rsid w:val="0088233C"/>
    <w:rsid w:val="0088280A"/>
    <w:rsid w:val="00883EB7"/>
    <w:rsid w:val="00886D42"/>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B7187"/>
    <w:rsid w:val="008C12BE"/>
    <w:rsid w:val="008C1B93"/>
    <w:rsid w:val="008C22C7"/>
    <w:rsid w:val="008C38EB"/>
    <w:rsid w:val="008C414B"/>
    <w:rsid w:val="008C41C8"/>
    <w:rsid w:val="008C54EA"/>
    <w:rsid w:val="008C6701"/>
    <w:rsid w:val="008C671C"/>
    <w:rsid w:val="008D28A9"/>
    <w:rsid w:val="008D3BDF"/>
    <w:rsid w:val="008D5ED6"/>
    <w:rsid w:val="008D7EA2"/>
    <w:rsid w:val="008E0F80"/>
    <w:rsid w:val="008E17AF"/>
    <w:rsid w:val="008E1CA4"/>
    <w:rsid w:val="008E3FAA"/>
    <w:rsid w:val="008E4F5F"/>
    <w:rsid w:val="008E737C"/>
    <w:rsid w:val="008F0001"/>
    <w:rsid w:val="008F05B8"/>
    <w:rsid w:val="008F0C9D"/>
    <w:rsid w:val="008F0D5A"/>
    <w:rsid w:val="008F1C12"/>
    <w:rsid w:val="008F326B"/>
    <w:rsid w:val="008F5A4B"/>
    <w:rsid w:val="008F5EF9"/>
    <w:rsid w:val="008F5F6F"/>
    <w:rsid w:val="00900EC1"/>
    <w:rsid w:val="00901214"/>
    <w:rsid w:val="00904D6D"/>
    <w:rsid w:val="00904EC8"/>
    <w:rsid w:val="00906951"/>
    <w:rsid w:val="00910C44"/>
    <w:rsid w:val="0091187A"/>
    <w:rsid w:val="00912FBC"/>
    <w:rsid w:val="00913D3B"/>
    <w:rsid w:val="00913F75"/>
    <w:rsid w:val="00914133"/>
    <w:rsid w:val="00921D05"/>
    <w:rsid w:val="0092257C"/>
    <w:rsid w:val="00923121"/>
    <w:rsid w:val="00923776"/>
    <w:rsid w:val="00925B04"/>
    <w:rsid w:val="009314C3"/>
    <w:rsid w:val="009317FD"/>
    <w:rsid w:val="00932843"/>
    <w:rsid w:val="0094001A"/>
    <w:rsid w:val="009406FF"/>
    <w:rsid w:val="00941203"/>
    <w:rsid w:val="009416C1"/>
    <w:rsid w:val="0094367D"/>
    <w:rsid w:val="00943FA1"/>
    <w:rsid w:val="00945A5C"/>
    <w:rsid w:val="00946389"/>
    <w:rsid w:val="0094738D"/>
    <w:rsid w:val="00950EF7"/>
    <w:rsid w:val="00954DC1"/>
    <w:rsid w:val="00955462"/>
    <w:rsid w:val="00955F17"/>
    <w:rsid w:val="00956EB6"/>
    <w:rsid w:val="00957C11"/>
    <w:rsid w:val="009617A9"/>
    <w:rsid w:val="00964A77"/>
    <w:rsid w:val="009665BE"/>
    <w:rsid w:val="009673AB"/>
    <w:rsid w:val="00967961"/>
    <w:rsid w:val="00970E84"/>
    <w:rsid w:val="00971153"/>
    <w:rsid w:val="009720B4"/>
    <w:rsid w:val="009758C4"/>
    <w:rsid w:val="00981036"/>
    <w:rsid w:val="00981E5F"/>
    <w:rsid w:val="00983846"/>
    <w:rsid w:val="00990CC8"/>
    <w:rsid w:val="0099227E"/>
    <w:rsid w:val="009949C5"/>
    <w:rsid w:val="009A1298"/>
    <w:rsid w:val="009A19B2"/>
    <w:rsid w:val="009B3EC0"/>
    <w:rsid w:val="009B5FE8"/>
    <w:rsid w:val="009B62B1"/>
    <w:rsid w:val="009B76C2"/>
    <w:rsid w:val="009B7C57"/>
    <w:rsid w:val="009C080D"/>
    <w:rsid w:val="009C3FE9"/>
    <w:rsid w:val="009C5293"/>
    <w:rsid w:val="009C78B6"/>
    <w:rsid w:val="009D27B6"/>
    <w:rsid w:val="009D41DF"/>
    <w:rsid w:val="009D709E"/>
    <w:rsid w:val="009E0249"/>
    <w:rsid w:val="009E055A"/>
    <w:rsid w:val="009E0F0F"/>
    <w:rsid w:val="009E36AC"/>
    <w:rsid w:val="009E4FB4"/>
    <w:rsid w:val="009E5694"/>
    <w:rsid w:val="009E585B"/>
    <w:rsid w:val="009E5A28"/>
    <w:rsid w:val="009F040E"/>
    <w:rsid w:val="009F2287"/>
    <w:rsid w:val="009F5518"/>
    <w:rsid w:val="00A01765"/>
    <w:rsid w:val="00A02DD3"/>
    <w:rsid w:val="00A04D6C"/>
    <w:rsid w:val="00A05622"/>
    <w:rsid w:val="00A1136A"/>
    <w:rsid w:val="00A1327F"/>
    <w:rsid w:val="00A16250"/>
    <w:rsid w:val="00A17296"/>
    <w:rsid w:val="00A17D28"/>
    <w:rsid w:val="00A21621"/>
    <w:rsid w:val="00A22457"/>
    <w:rsid w:val="00A22900"/>
    <w:rsid w:val="00A31E71"/>
    <w:rsid w:val="00A3340E"/>
    <w:rsid w:val="00A4148F"/>
    <w:rsid w:val="00A42248"/>
    <w:rsid w:val="00A426C8"/>
    <w:rsid w:val="00A42ABF"/>
    <w:rsid w:val="00A4427E"/>
    <w:rsid w:val="00A46733"/>
    <w:rsid w:val="00A46ECF"/>
    <w:rsid w:val="00A477B8"/>
    <w:rsid w:val="00A47AD5"/>
    <w:rsid w:val="00A47F03"/>
    <w:rsid w:val="00A51683"/>
    <w:rsid w:val="00A51892"/>
    <w:rsid w:val="00A52037"/>
    <w:rsid w:val="00A52149"/>
    <w:rsid w:val="00A52ADB"/>
    <w:rsid w:val="00A5654D"/>
    <w:rsid w:val="00A5669C"/>
    <w:rsid w:val="00A5724F"/>
    <w:rsid w:val="00A6261F"/>
    <w:rsid w:val="00A662A3"/>
    <w:rsid w:val="00A6697F"/>
    <w:rsid w:val="00A71C8A"/>
    <w:rsid w:val="00A71ED6"/>
    <w:rsid w:val="00A745A1"/>
    <w:rsid w:val="00A77AFE"/>
    <w:rsid w:val="00A77E76"/>
    <w:rsid w:val="00A80090"/>
    <w:rsid w:val="00A82275"/>
    <w:rsid w:val="00A85A64"/>
    <w:rsid w:val="00A91D34"/>
    <w:rsid w:val="00A93118"/>
    <w:rsid w:val="00AA3EC5"/>
    <w:rsid w:val="00AA48F5"/>
    <w:rsid w:val="00AA4B39"/>
    <w:rsid w:val="00AA4DBA"/>
    <w:rsid w:val="00AA512B"/>
    <w:rsid w:val="00AA608B"/>
    <w:rsid w:val="00AA77C0"/>
    <w:rsid w:val="00AB1CD7"/>
    <w:rsid w:val="00AB1F5C"/>
    <w:rsid w:val="00AB4311"/>
    <w:rsid w:val="00AB49DA"/>
    <w:rsid w:val="00AB4CE5"/>
    <w:rsid w:val="00AB59A7"/>
    <w:rsid w:val="00AB68F7"/>
    <w:rsid w:val="00AC077B"/>
    <w:rsid w:val="00AC0C82"/>
    <w:rsid w:val="00AC1F08"/>
    <w:rsid w:val="00AC45F6"/>
    <w:rsid w:val="00AC60ED"/>
    <w:rsid w:val="00AD2A52"/>
    <w:rsid w:val="00AD529F"/>
    <w:rsid w:val="00AD564C"/>
    <w:rsid w:val="00AD7639"/>
    <w:rsid w:val="00AE3182"/>
    <w:rsid w:val="00AE43A3"/>
    <w:rsid w:val="00AF095A"/>
    <w:rsid w:val="00AF1030"/>
    <w:rsid w:val="00AF1119"/>
    <w:rsid w:val="00AF59C3"/>
    <w:rsid w:val="00AF78FE"/>
    <w:rsid w:val="00B011BB"/>
    <w:rsid w:val="00B0163B"/>
    <w:rsid w:val="00B022C9"/>
    <w:rsid w:val="00B04312"/>
    <w:rsid w:val="00B0539A"/>
    <w:rsid w:val="00B06669"/>
    <w:rsid w:val="00B06F09"/>
    <w:rsid w:val="00B07DF0"/>
    <w:rsid w:val="00B14782"/>
    <w:rsid w:val="00B14B32"/>
    <w:rsid w:val="00B14BA4"/>
    <w:rsid w:val="00B14C9C"/>
    <w:rsid w:val="00B14E05"/>
    <w:rsid w:val="00B15EA7"/>
    <w:rsid w:val="00B162E1"/>
    <w:rsid w:val="00B16405"/>
    <w:rsid w:val="00B17156"/>
    <w:rsid w:val="00B17A29"/>
    <w:rsid w:val="00B17D85"/>
    <w:rsid w:val="00B21966"/>
    <w:rsid w:val="00B2363C"/>
    <w:rsid w:val="00B252F9"/>
    <w:rsid w:val="00B25977"/>
    <w:rsid w:val="00B271D8"/>
    <w:rsid w:val="00B27C45"/>
    <w:rsid w:val="00B313EB"/>
    <w:rsid w:val="00B3198A"/>
    <w:rsid w:val="00B3219B"/>
    <w:rsid w:val="00B34812"/>
    <w:rsid w:val="00B357AE"/>
    <w:rsid w:val="00B37E57"/>
    <w:rsid w:val="00B42FA5"/>
    <w:rsid w:val="00B43A1A"/>
    <w:rsid w:val="00B514D3"/>
    <w:rsid w:val="00B51BC7"/>
    <w:rsid w:val="00B52134"/>
    <w:rsid w:val="00B56063"/>
    <w:rsid w:val="00B570B0"/>
    <w:rsid w:val="00B57714"/>
    <w:rsid w:val="00B60844"/>
    <w:rsid w:val="00B61620"/>
    <w:rsid w:val="00B64061"/>
    <w:rsid w:val="00B65BB6"/>
    <w:rsid w:val="00B7048C"/>
    <w:rsid w:val="00B716EC"/>
    <w:rsid w:val="00B71D8A"/>
    <w:rsid w:val="00B73F7D"/>
    <w:rsid w:val="00B743B9"/>
    <w:rsid w:val="00B74970"/>
    <w:rsid w:val="00B768D7"/>
    <w:rsid w:val="00B7694A"/>
    <w:rsid w:val="00B778A3"/>
    <w:rsid w:val="00B809F3"/>
    <w:rsid w:val="00B82AA2"/>
    <w:rsid w:val="00B8407C"/>
    <w:rsid w:val="00B85932"/>
    <w:rsid w:val="00B87588"/>
    <w:rsid w:val="00B87C99"/>
    <w:rsid w:val="00B92474"/>
    <w:rsid w:val="00B9459A"/>
    <w:rsid w:val="00B959D2"/>
    <w:rsid w:val="00BA2419"/>
    <w:rsid w:val="00BA7F5A"/>
    <w:rsid w:val="00BB0F2F"/>
    <w:rsid w:val="00BB1C66"/>
    <w:rsid w:val="00BB3596"/>
    <w:rsid w:val="00BB4E5E"/>
    <w:rsid w:val="00BB524D"/>
    <w:rsid w:val="00BB5385"/>
    <w:rsid w:val="00BB5653"/>
    <w:rsid w:val="00BB6E3C"/>
    <w:rsid w:val="00BB6EC5"/>
    <w:rsid w:val="00BB7AF0"/>
    <w:rsid w:val="00BC06CF"/>
    <w:rsid w:val="00BC133D"/>
    <w:rsid w:val="00BC18E5"/>
    <w:rsid w:val="00BC3E9C"/>
    <w:rsid w:val="00BC4AF5"/>
    <w:rsid w:val="00BC5AA5"/>
    <w:rsid w:val="00BC61EB"/>
    <w:rsid w:val="00BC7CC2"/>
    <w:rsid w:val="00BD049F"/>
    <w:rsid w:val="00BD0D55"/>
    <w:rsid w:val="00BD0E9D"/>
    <w:rsid w:val="00BD218A"/>
    <w:rsid w:val="00BD323B"/>
    <w:rsid w:val="00BD399A"/>
    <w:rsid w:val="00BD557E"/>
    <w:rsid w:val="00BD5B18"/>
    <w:rsid w:val="00BD5F64"/>
    <w:rsid w:val="00BE0201"/>
    <w:rsid w:val="00BE3232"/>
    <w:rsid w:val="00BE520C"/>
    <w:rsid w:val="00BE652A"/>
    <w:rsid w:val="00BF16AD"/>
    <w:rsid w:val="00BF2C8B"/>
    <w:rsid w:val="00BF34A7"/>
    <w:rsid w:val="00BF3B14"/>
    <w:rsid w:val="00BF57D7"/>
    <w:rsid w:val="00BF6218"/>
    <w:rsid w:val="00BF7213"/>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26C13"/>
    <w:rsid w:val="00C311E4"/>
    <w:rsid w:val="00C322BB"/>
    <w:rsid w:val="00C33540"/>
    <w:rsid w:val="00C350F2"/>
    <w:rsid w:val="00C35B73"/>
    <w:rsid w:val="00C35B8F"/>
    <w:rsid w:val="00C35FBE"/>
    <w:rsid w:val="00C36DAD"/>
    <w:rsid w:val="00C40E59"/>
    <w:rsid w:val="00C418BF"/>
    <w:rsid w:val="00C4258F"/>
    <w:rsid w:val="00C43975"/>
    <w:rsid w:val="00C44562"/>
    <w:rsid w:val="00C453FB"/>
    <w:rsid w:val="00C500D2"/>
    <w:rsid w:val="00C50166"/>
    <w:rsid w:val="00C502FF"/>
    <w:rsid w:val="00C54EFE"/>
    <w:rsid w:val="00C55BED"/>
    <w:rsid w:val="00C55D03"/>
    <w:rsid w:val="00C55F3E"/>
    <w:rsid w:val="00C57311"/>
    <w:rsid w:val="00C57791"/>
    <w:rsid w:val="00C60006"/>
    <w:rsid w:val="00C6069B"/>
    <w:rsid w:val="00C61929"/>
    <w:rsid w:val="00C62E71"/>
    <w:rsid w:val="00C63059"/>
    <w:rsid w:val="00C631FE"/>
    <w:rsid w:val="00C63C08"/>
    <w:rsid w:val="00C66CCC"/>
    <w:rsid w:val="00C676A4"/>
    <w:rsid w:val="00C700B6"/>
    <w:rsid w:val="00C7182A"/>
    <w:rsid w:val="00C72659"/>
    <w:rsid w:val="00C734AC"/>
    <w:rsid w:val="00C73BD7"/>
    <w:rsid w:val="00C80CAC"/>
    <w:rsid w:val="00C82139"/>
    <w:rsid w:val="00C8516B"/>
    <w:rsid w:val="00C854C1"/>
    <w:rsid w:val="00C85B81"/>
    <w:rsid w:val="00C87E71"/>
    <w:rsid w:val="00C90818"/>
    <w:rsid w:val="00C91630"/>
    <w:rsid w:val="00C9178F"/>
    <w:rsid w:val="00C93F76"/>
    <w:rsid w:val="00C9655A"/>
    <w:rsid w:val="00C96FCA"/>
    <w:rsid w:val="00C9754D"/>
    <w:rsid w:val="00C975DF"/>
    <w:rsid w:val="00CA5D84"/>
    <w:rsid w:val="00CB3AD5"/>
    <w:rsid w:val="00CB73B9"/>
    <w:rsid w:val="00CC1960"/>
    <w:rsid w:val="00CD2C37"/>
    <w:rsid w:val="00CD31B1"/>
    <w:rsid w:val="00CD6146"/>
    <w:rsid w:val="00CD725A"/>
    <w:rsid w:val="00CE0869"/>
    <w:rsid w:val="00CE1CF3"/>
    <w:rsid w:val="00CE44F9"/>
    <w:rsid w:val="00CE45FC"/>
    <w:rsid w:val="00CE70F3"/>
    <w:rsid w:val="00CE7659"/>
    <w:rsid w:val="00CF0E18"/>
    <w:rsid w:val="00CF29A4"/>
    <w:rsid w:val="00CF2F2E"/>
    <w:rsid w:val="00CF4D55"/>
    <w:rsid w:val="00CF5A8A"/>
    <w:rsid w:val="00CF5FF4"/>
    <w:rsid w:val="00CF624D"/>
    <w:rsid w:val="00CF6E34"/>
    <w:rsid w:val="00D00B3B"/>
    <w:rsid w:val="00D066D9"/>
    <w:rsid w:val="00D06E9D"/>
    <w:rsid w:val="00D076EF"/>
    <w:rsid w:val="00D07B5A"/>
    <w:rsid w:val="00D108C5"/>
    <w:rsid w:val="00D10D7A"/>
    <w:rsid w:val="00D1187F"/>
    <w:rsid w:val="00D11C2D"/>
    <w:rsid w:val="00D12E4F"/>
    <w:rsid w:val="00D13B03"/>
    <w:rsid w:val="00D1618D"/>
    <w:rsid w:val="00D167B1"/>
    <w:rsid w:val="00D16D1B"/>
    <w:rsid w:val="00D16E2B"/>
    <w:rsid w:val="00D2060F"/>
    <w:rsid w:val="00D21B66"/>
    <w:rsid w:val="00D21F66"/>
    <w:rsid w:val="00D24B66"/>
    <w:rsid w:val="00D24C22"/>
    <w:rsid w:val="00D31492"/>
    <w:rsid w:val="00D3478B"/>
    <w:rsid w:val="00D35E12"/>
    <w:rsid w:val="00D413DD"/>
    <w:rsid w:val="00D4189D"/>
    <w:rsid w:val="00D424E3"/>
    <w:rsid w:val="00D42604"/>
    <w:rsid w:val="00D42926"/>
    <w:rsid w:val="00D43436"/>
    <w:rsid w:val="00D4389A"/>
    <w:rsid w:val="00D4436A"/>
    <w:rsid w:val="00D45829"/>
    <w:rsid w:val="00D45DEF"/>
    <w:rsid w:val="00D45FB7"/>
    <w:rsid w:val="00D46347"/>
    <w:rsid w:val="00D46954"/>
    <w:rsid w:val="00D51E72"/>
    <w:rsid w:val="00D52C3F"/>
    <w:rsid w:val="00D534EA"/>
    <w:rsid w:val="00D540A4"/>
    <w:rsid w:val="00D54DBC"/>
    <w:rsid w:val="00D56A85"/>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62F0"/>
    <w:rsid w:val="00D87832"/>
    <w:rsid w:val="00D9045B"/>
    <w:rsid w:val="00D90EA9"/>
    <w:rsid w:val="00D941C3"/>
    <w:rsid w:val="00D947D6"/>
    <w:rsid w:val="00D94A99"/>
    <w:rsid w:val="00D95324"/>
    <w:rsid w:val="00D95482"/>
    <w:rsid w:val="00DA02C2"/>
    <w:rsid w:val="00DA0390"/>
    <w:rsid w:val="00DA1940"/>
    <w:rsid w:val="00DA1FBA"/>
    <w:rsid w:val="00DA3C3C"/>
    <w:rsid w:val="00DA7C54"/>
    <w:rsid w:val="00DB05EC"/>
    <w:rsid w:val="00DB166E"/>
    <w:rsid w:val="00DB3D8C"/>
    <w:rsid w:val="00DB43B8"/>
    <w:rsid w:val="00DB7BD1"/>
    <w:rsid w:val="00DB7C8A"/>
    <w:rsid w:val="00DC0005"/>
    <w:rsid w:val="00DC2DC5"/>
    <w:rsid w:val="00DC341B"/>
    <w:rsid w:val="00DD35E7"/>
    <w:rsid w:val="00DD5486"/>
    <w:rsid w:val="00DD650E"/>
    <w:rsid w:val="00DD7172"/>
    <w:rsid w:val="00DD7968"/>
    <w:rsid w:val="00DE0B7E"/>
    <w:rsid w:val="00DE1418"/>
    <w:rsid w:val="00DE1AB7"/>
    <w:rsid w:val="00DE1E9C"/>
    <w:rsid w:val="00DE2205"/>
    <w:rsid w:val="00DE421E"/>
    <w:rsid w:val="00DE5454"/>
    <w:rsid w:val="00DE6A8B"/>
    <w:rsid w:val="00DE7F41"/>
    <w:rsid w:val="00DF0F50"/>
    <w:rsid w:val="00DF2309"/>
    <w:rsid w:val="00DF28DC"/>
    <w:rsid w:val="00DF3915"/>
    <w:rsid w:val="00DF44AC"/>
    <w:rsid w:val="00DF4CE2"/>
    <w:rsid w:val="00E0168F"/>
    <w:rsid w:val="00E035F2"/>
    <w:rsid w:val="00E06EB8"/>
    <w:rsid w:val="00E11220"/>
    <w:rsid w:val="00E12071"/>
    <w:rsid w:val="00E12660"/>
    <w:rsid w:val="00E12838"/>
    <w:rsid w:val="00E14313"/>
    <w:rsid w:val="00E15BBF"/>
    <w:rsid w:val="00E15ECD"/>
    <w:rsid w:val="00E23F00"/>
    <w:rsid w:val="00E2599A"/>
    <w:rsid w:val="00E2672D"/>
    <w:rsid w:val="00E26A0F"/>
    <w:rsid w:val="00E30F48"/>
    <w:rsid w:val="00E318D4"/>
    <w:rsid w:val="00E339EE"/>
    <w:rsid w:val="00E3557A"/>
    <w:rsid w:val="00E4014C"/>
    <w:rsid w:val="00E401FC"/>
    <w:rsid w:val="00E42D1B"/>
    <w:rsid w:val="00E46C0B"/>
    <w:rsid w:val="00E46FAB"/>
    <w:rsid w:val="00E474DC"/>
    <w:rsid w:val="00E5155C"/>
    <w:rsid w:val="00E530FD"/>
    <w:rsid w:val="00E55EA9"/>
    <w:rsid w:val="00E56307"/>
    <w:rsid w:val="00E56D55"/>
    <w:rsid w:val="00E56F52"/>
    <w:rsid w:val="00E57F76"/>
    <w:rsid w:val="00E60696"/>
    <w:rsid w:val="00E62028"/>
    <w:rsid w:val="00E6393C"/>
    <w:rsid w:val="00E67E51"/>
    <w:rsid w:val="00E76BE0"/>
    <w:rsid w:val="00E7790B"/>
    <w:rsid w:val="00E814E4"/>
    <w:rsid w:val="00E81714"/>
    <w:rsid w:val="00E82F85"/>
    <w:rsid w:val="00E87BD7"/>
    <w:rsid w:val="00E91546"/>
    <w:rsid w:val="00E91678"/>
    <w:rsid w:val="00E9206E"/>
    <w:rsid w:val="00E92726"/>
    <w:rsid w:val="00E93438"/>
    <w:rsid w:val="00E93F64"/>
    <w:rsid w:val="00E96737"/>
    <w:rsid w:val="00EA0008"/>
    <w:rsid w:val="00EA0668"/>
    <w:rsid w:val="00EA0772"/>
    <w:rsid w:val="00EA127F"/>
    <w:rsid w:val="00EA1F53"/>
    <w:rsid w:val="00EA4376"/>
    <w:rsid w:val="00EA56F5"/>
    <w:rsid w:val="00EA70DC"/>
    <w:rsid w:val="00EB01FF"/>
    <w:rsid w:val="00EB06C6"/>
    <w:rsid w:val="00EB1B47"/>
    <w:rsid w:val="00EB46E1"/>
    <w:rsid w:val="00EB7BD6"/>
    <w:rsid w:val="00EC1609"/>
    <w:rsid w:val="00EC20FD"/>
    <w:rsid w:val="00EC2EF8"/>
    <w:rsid w:val="00EC3DAC"/>
    <w:rsid w:val="00EC42FF"/>
    <w:rsid w:val="00EC4A38"/>
    <w:rsid w:val="00EC53A0"/>
    <w:rsid w:val="00EC5A73"/>
    <w:rsid w:val="00EC6734"/>
    <w:rsid w:val="00ED2C11"/>
    <w:rsid w:val="00ED3B7C"/>
    <w:rsid w:val="00ED3D0C"/>
    <w:rsid w:val="00ED4AEF"/>
    <w:rsid w:val="00ED570E"/>
    <w:rsid w:val="00ED5CFE"/>
    <w:rsid w:val="00ED7B4B"/>
    <w:rsid w:val="00EE005A"/>
    <w:rsid w:val="00EE05CF"/>
    <w:rsid w:val="00EE10AE"/>
    <w:rsid w:val="00EE2DA2"/>
    <w:rsid w:val="00EE4290"/>
    <w:rsid w:val="00EE4EE8"/>
    <w:rsid w:val="00EE589E"/>
    <w:rsid w:val="00EE76D0"/>
    <w:rsid w:val="00EE7C89"/>
    <w:rsid w:val="00EF1185"/>
    <w:rsid w:val="00EF6CCD"/>
    <w:rsid w:val="00EF754D"/>
    <w:rsid w:val="00F027E9"/>
    <w:rsid w:val="00F0775E"/>
    <w:rsid w:val="00F078AE"/>
    <w:rsid w:val="00F107C7"/>
    <w:rsid w:val="00F1452D"/>
    <w:rsid w:val="00F157CC"/>
    <w:rsid w:val="00F15F69"/>
    <w:rsid w:val="00F1612D"/>
    <w:rsid w:val="00F16D8C"/>
    <w:rsid w:val="00F17069"/>
    <w:rsid w:val="00F173DD"/>
    <w:rsid w:val="00F21119"/>
    <w:rsid w:val="00F23729"/>
    <w:rsid w:val="00F25164"/>
    <w:rsid w:val="00F277D3"/>
    <w:rsid w:val="00F30997"/>
    <w:rsid w:val="00F32896"/>
    <w:rsid w:val="00F33C08"/>
    <w:rsid w:val="00F41AE7"/>
    <w:rsid w:val="00F41F44"/>
    <w:rsid w:val="00F42D17"/>
    <w:rsid w:val="00F42D5D"/>
    <w:rsid w:val="00F448B1"/>
    <w:rsid w:val="00F457A0"/>
    <w:rsid w:val="00F46492"/>
    <w:rsid w:val="00F477B5"/>
    <w:rsid w:val="00F47B01"/>
    <w:rsid w:val="00F5057E"/>
    <w:rsid w:val="00F53410"/>
    <w:rsid w:val="00F541F8"/>
    <w:rsid w:val="00F5470A"/>
    <w:rsid w:val="00F551E6"/>
    <w:rsid w:val="00F5563D"/>
    <w:rsid w:val="00F56891"/>
    <w:rsid w:val="00F64387"/>
    <w:rsid w:val="00F6456C"/>
    <w:rsid w:val="00F64CD4"/>
    <w:rsid w:val="00F65AB2"/>
    <w:rsid w:val="00F67418"/>
    <w:rsid w:val="00F73E78"/>
    <w:rsid w:val="00F740C2"/>
    <w:rsid w:val="00F7591E"/>
    <w:rsid w:val="00F75EF9"/>
    <w:rsid w:val="00F77A9B"/>
    <w:rsid w:val="00F812FC"/>
    <w:rsid w:val="00F823B0"/>
    <w:rsid w:val="00F8271B"/>
    <w:rsid w:val="00F83035"/>
    <w:rsid w:val="00F866B0"/>
    <w:rsid w:val="00F869EF"/>
    <w:rsid w:val="00F86BE4"/>
    <w:rsid w:val="00F86C7B"/>
    <w:rsid w:val="00F86D61"/>
    <w:rsid w:val="00F87E89"/>
    <w:rsid w:val="00F905B6"/>
    <w:rsid w:val="00F90B31"/>
    <w:rsid w:val="00F914B2"/>
    <w:rsid w:val="00F926B9"/>
    <w:rsid w:val="00F9541D"/>
    <w:rsid w:val="00F95619"/>
    <w:rsid w:val="00FA0403"/>
    <w:rsid w:val="00FA38EB"/>
    <w:rsid w:val="00FA597D"/>
    <w:rsid w:val="00FA5B9A"/>
    <w:rsid w:val="00FB01B9"/>
    <w:rsid w:val="00FB3351"/>
    <w:rsid w:val="00FB763A"/>
    <w:rsid w:val="00FB79C0"/>
    <w:rsid w:val="00FC2EB8"/>
    <w:rsid w:val="00FC5C43"/>
    <w:rsid w:val="00FC7FA4"/>
    <w:rsid w:val="00FD1598"/>
    <w:rsid w:val="00FD576E"/>
    <w:rsid w:val="00FD596B"/>
    <w:rsid w:val="00FD77E5"/>
    <w:rsid w:val="00FD7CBA"/>
    <w:rsid w:val="00FE0D94"/>
    <w:rsid w:val="00FE257E"/>
    <w:rsid w:val="00FE58CC"/>
    <w:rsid w:val="00FE658B"/>
    <w:rsid w:val="00FE75A9"/>
    <w:rsid w:val="00FF058D"/>
    <w:rsid w:val="00FF1D8E"/>
    <w:rsid w:val="00FF2440"/>
    <w:rsid w:val="00FF2E11"/>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8D894"/>
  <w15:docId w15:val="{3D42FC12-3A14-479A-81C0-DDA2CEC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Colorful List - Accent 11,List 5.2.1,List Paragraph1,PARAGRAPH,spasi 2 taiiii"/>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character" w:customStyle="1" w:styleId="FootnoteTextChar">
    <w:name w:val="Footnote Text Char"/>
    <w:basedOn w:val="DefaultParagraphFont"/>
    <w:link w:val="FootnoteText"/>
    <w:semiHidden/>
    <w:rsid w:val="00006142"/>
    <w:rPr>
      <w:rFonts w:cs="Traditional Arabic"/>
      <w:lang w:eastAsia="ko-KR"/>
    </w:rPr>
  </w:style>
  <w:style w:type="paragraph" w:customStyle="1" w:styleId="TitleColumnHeading">
    <w:name w:val="Title Column Heading"/>
    <w:basedOn w:val="Normal"/>
    <w:rsid w:val="00E530FD"/>
    <w:pPr>
      <w:tabs>
        <w:tab w:val="right" w:pos="8640"/>
      </w:tabs>
      <w:spacing w:line="480" w:lineRule="auto"/>
      <w:jc w:val="center"/>
    </w:pPr>
    <w:rPr>
      <w:sz w:val="24"/>
    </w:rPr>
  </w:style>
  <w:style w:type="paragraph" w:customStyle="1" w:styleId="TableBody">
    <w:name w:val="Table Body"/>
    <w:basedOn w:val="Normal"/>
    <w:rsid w:val="00E530FD"/>
    <w:pPr>
      <w:tabs>
        <w:tab w:val="right" w:pos="8640"/>
      </w:tabs>
      <w:spacing w:line="480" w:lineRule="auto"/>
      <w:jc w:val="center"/>
    </w:pPr>
    <w:rPr>
      <w:color w:val="000000"/>
      <w:sz w:val="24"/>
      <w:szCs w:val="24"/>
    </w:rPr>
  </w:style>
  <w:style w:type="character" w:customStyle="1" w:styleId="FigureCaptionLabelChar">
    <w:name w:val="Figure Caption Label Char"/>
    <w:rsid w:val="00E530FD"/>
    <w:rPr>
      <w:rFonts w:ascii="Garamond" w:hAnsi="Garamond"/>
      <w:i/>
      <w:sz w:val="24"/>
      <w:szCs w:val="24"/>
      <w:lang w:val="en-US" w:eastAsia="en-US" w:bidi="ar-SA"/>
    </w:rPr>
  </w:style>
  <w:style w:type="paragraph" w:customStyle="1" w:styleId="Firstparagraphstyle">
    <w:name w:val="First paragraph style"/>
    <w:basedOn w:val="Normal"/>
    <w:next w:val="Normal"/>
    <w:qFormat/>
    <w:rsid w:val="00E530FD"/>
    <w:pPr>
      <w:spacing w:line="480" w:lineRule="auto"/>
    </w:pPr>
    <w:rPr>
      <w:sz w:val="24"/>
      <w:szCs w:val="24"/>
      <w:lang w:val="en-GB" w:eastAsia="en-GB"/>
    </w:rPr>
  </w:style>
  <w:style w:type="character" w:customStyle="1" w:styleId="ListParagraphChar">
    <w:name w:val="List Paragraph Char"/>
    <w:aliases w:val="Body of text Char,Colorful List - Accent 11 Char,List 5.2.1 Char,List Paragraph1 Char,PARAGRAPH Char,spasi 2 taiiii Char"/>
    <w:link w:val="ListParagraph"/>
    <w:uiPriority w:val="34"/>
    <w:qFormat/>
    <w:rsid w:val="0028531E"/>
    <w:rPr>
      <w:rFonts w:ascii="Calibri" w:hAnsi="Calibri"/>
      <w:sz w:val="22"/>
      <w:szCs w:val="22"/>
      <w:lang w:val="en-GB" w:eastAsia="en-GB"/>
    </w:rPr>
  </w:style>
  <w:style w:type="table" w:styleId="PlainTable2">
    <w:name w:val="Plain Table 2"/>
    <w:basedOn w:val="TableNormal"/>
    <w:uiPriority w:val="42"/>
    <w:rsid w:val="0028531E"/>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285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bf5a5aad3776e459JmltdHM9MTY2NDA2NDAwMCZpZ3VpZD0yNDM1ZTNjYi00OTZlLTZmNWUtMmZmNy1mMzg0NDhlNTZlMWEmaW5zaWQ9NTE5Ng&amp;ptn=3&amp;hsh=3&amp;fclid=2435e3cb-496e-6f5e-2ff7-f38448e56e1a&amp;u=a1aHR0cHM6Ly9tZWRpY2luZS5vc3UuZWR1L2RlcGFydG1lbnRzL3BsYXN0aWMtcmVjb25zdHJ1Y3RpdmUtc3VyZ2VyeQ&amp;ntb=1"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jokmahadewa@unud.ac.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lyawanm@yahoo.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ing.com/ck/a?!&amp;&amp;p=bf5a5aad3776e459JmltdHM9MTY2NDA2NDAwMCZpZ3VpZD0yNDM1ZTNjYi00OTZlLTZmNWUtMmZmNy1mMzg0NDhlNTZlMWEmaW5zaWQ9NTE5Ng&amp;ptn=3&amp;hsh=3&amp;fclid=2435e3cb-496e-6f5e-2ff7-f38448e56e1a&amp;u=a1aHR0cHM6Ly9tZWRpY2luZS5vc3UuZWR1L2RlcGFydG1lbnRzL3BsYXN0aWMtcmVjb25zdHJ1Y3RpdmUtc3VyZ2VyeQ&amp;ntb=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gjodxt@gmail.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s://sciencescholar.us/journal/index.php/ijhs/article/view/13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0F6E-6C96-441B-9153-0C1C15DA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3947</TotalTime>
  <Pages>11</Pages>
  <Words>15577</Words>
  <Characters>88791</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SCOPUS</vt:lpstr>
    </vt:vector>
  </TitlesOfParts>
  <Company>cairo</Company>
  <LinksUpToDate>false</LinksUpToDate>
  <CharactersWithSpaces>104160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SCOPUS</dc:title>
  <dc:creator>SCOPUS</dc:creator>
  <cp:keywords>SCOPUS</cp:keywords>
  <dc:description>SCOPUS</dc:description>
  <cp:lastModifiedBy>ayu kartika</cp:lastModifiedBy>
  <cp:revision>155</cp:revision>
  <cp:lastPrinted>2019-06-30T06:08:00Z</cp:lastPrinted>
  <dcterms:created xsi:type="dcterms:W3CDTF">2017-04-20T05:23:00Z</dcterms:created>
  <dcterms:modified xsi:type="dcterms:W3CDTF">2023-01-31T04:48:00Z</dcterms:modified>
</cp:coreProperties>
</file>